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99A4" w14:textId="69868565" w:rsidR="07082566" w:rsidRDefault="07082566" w:rsidP="0D9EEDF4">
      <w:pPr>
        <w:ind w:left="5760" w:firstLine="720"/>
        <w:jc w:val="center"/>
      </w:pPr>
      <w:r>
        <w:rPr>
          <w:noProof/>
        </w:rPr>
        <w:drawing>
          <wp:inline distT="0" distB="0" distL="0" distR="0" wp14:anchorId="3851642A" wp14:editId="49E4DF70">
            <wp:extent cx="2085975" cy="1209675"/>
            <wp:effectExtent l="0" t="0" r="0" b="0"/>
            <wp:docPr id="1323462406" name="Picture 1323462406"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3462406"/>
                    <pic:cNvPicPr/>
                  </pic:nvPicPr>
                  <pic:blipFill>
                    <a:blip r:embed="rId11">
                      <a:extLst>
                        <a:ext uri="{28A0092B-C50C-407E-A947-70E740481C1C}">
                          <a14:useLocalDpi xmlns:a14="http://schemas.microsoft.com/office/drawing/2010/main" val="0"/>
                        </a:ext>
                      </a:extLst>
                    </a:blip>
                    <a:stretch>
                      <a:fillRect/>
                    </a:stretch>
                  </pic:blipFill>
                  <pic:spPr>
                    <a:xfrm>
                      <a:off x="0" y="0"/>
                      <a:ext cx="2085975" cy="1209675"/>
                    </a:xfrm>
                    <a:prstGeom prst="rect">
                      <a:avLst/>
                    </a:prstGeom>
                  </pic:spPr>
                </pic:pic>
              </a:graphicData>
            </a:graphic>
          </wp:inline>
        </w:drawing>
      </w:r>
    </w:p>
    <w:p w14:paraId="3D57954F" w14:textId="2DB21470" w:rsidR="49E4DF70" w:rsidRDefault="49E4DF70" w:rsidP="49E4DF70">
      <w:pPr>
        <w:jc w:val="center"/>
        <w:rPr>
          <w:rStyle w:val="Emphasis"/>
          <w:b/>
          <w:bCs/>
          <w:i w:val="0"/>
          <w:color w:val="FF0000"/>
          <w:sz w:val="22"/>
        </w:rPr>
      </w:pPr>
    </w:p>
    <w:p w14:paraId="663A2678" w14:textId="21F517FB" w:rsidR="3EDF4ADB" w:rsidRDefault="3EDF4ADB" w:rsidP="49E4DF70">
      <w:pPr>
        <w:jc w:val="center"/>
        <w:rPr>
          <w:rStyle w:val="Emphasis"/>
          <w:b/>
          <w:bCs/>
          <w:i w:val="0"/>
          <w:color w:val="FF0000"/>
          <w:sz w:val="28"/>
          <w:szCs w:val="28"/>
        </w:rPr>
      </w:pPr>
      <w:r w:rsidRPr="49E4DF70">
        <w:rPr>
          <w:rStyle w:val="Emphasis"/>
          <w:b/>
          <w:bCs/>
          <w:i w:val="0"/>
          <w:color w:val="FF0000"/>
          <w:sz w:val="24"/>
          <w:szCs w:val="24"/>
        </w:rPr>
        <w:t>For immediate release – Monday 1</w:t>
      </w:r>
      <w:r w:rsidR="41D9CD8B" w:rsidRPr="49E4DF70">
        <w:rPr>
          <w:rStyle w:val="Emphasis"/>
          <w:b/>
          <w:bCs/>
          <w:i w:val="0"/>
          <w:color w:val="FF0000"/>
          <w:sz w:val="24"/>
          <w:szCs w:val="24"/>
        </w:rPr>
        <w:t>8</w:t>
      </w:r>
      <w:r w:rsidRPr="49E4DF70">
        <w:rPr>
          <w:rStyle w:val="Emphasis"/>
          <w:b/>
          <w:bCs/>
          <w:i w:val="0"/>
          <w:color w:val="FF0000"/>
          <w:sz w:val="24"/>
          <w:szCs w:val="24"/>
        </w:rPr>
        <w:t xml:space="preserve"> September 2023</w:t>
      </w:r>
    </w:p>
    <w:p w14:paraId="2B82476C" w14:textId="77777777" w:rsidR="00A45BEE" w:rsidRPr="00A45BEE" w:rsidRDefault="00A45BEE" w:rsidP="32202325">
      <w:pPr>
        <w:rPr>
          <w:rStyle w:val="Emphasis"/>
          <w:i w:val="0"/>
          <w:sz w:val="22"/>
        </w:rPr>
      </w:pPr>
    </w:p>
    <w:p w14:paraId="7C2C9E4A" w14:textId="5F7B83E3" w:rsidR="73777EEB" w:rsidRPr="00DF668A" w:rsidRDefault="00C74613" w:rsidP="00AF3F29">
      <w:pPr>
        <w:jc w:val="center"/>
        <w:rPr>
          <w:rStyle w:val="Emphasis"/>
          <w:b/>
          <w:bCs/>
          <w:i w:val="0"/>
          <w:sz w:val="36"/>
          <w:szCs w:val="36"/>
        </w:rPr>
      </w:pPr>
      <w:r>
        <w:rPr>
          <w:rStyle w:val="Emphasis"/>
          <w:b/>
          <w:bCs/>
          <w:i w:val="0"/>
          <w:sz w:val="36"/>
          <w:szCs w:val="36"/>
        </w:rPr>
        <w:t>British public</w:t>
      </w:r>
      <w:r w:rsidR="53D2DBFB" w:rsidRPr="00DF668A">
        <w:rPr>
          <w:rStyle w:val="Emphasis"/>
          <w:b/>
          <w:bCs/>
          <w:i w:val="0"/>
          <w:sz w:val="36"/>
          <w:szCs w:val="36"/>
        </w:rPr>
        <w:t xml:space="preserve"> support</w:t>
      </w:r>
      <w:r>
        <w:rPr>
          <w:rStyle w:val="Emphasis"/>
          <w:b/>
          <w:bCs/>
          <w:i w:val="0"/>
          <w:sz w:val="36"/>
          <w:szCs w:val="36"/>
        </w:rPr>
        <w:t>s</w:t>
      </w:r>
      <w:r w:rsidR="53D2DBFB" w:rsidRPr="00DF668A">
        <w:rPr>
          <w:rStyle w:val="Emphasis"/>
          <w:b/>
          <w:bCs/>
          <w:i w:val="0"/>
          <w:sz w:val="36"/>
          <w:szCs w:val="36"/>
        </w:rPr>
        <w:t xml:space="preserve"> </w:t>
      </w:r>
      <w:r w:rsidR="00636FA5">
        <w:rPr>
          <w:rStyle w:val="Emphasis"/>
          <w:b/>
          <w:bCs/>
          <w:i w:val="0"/>
          <w:sz w:val="36"/>
          <w:szCs w:val="36"/>
        </w:rPr>
        <w:t xml:space="preserve">building </w:t>
      </w:r>
      <w:r w:rsidR="53D2DBFB" w:rsidRPr="00DF668A">
        <w:rPr>
          <w:rStyle w:val="Emphasis"/>
          <w:b/>
          <w:bCs/>
          <w:i w:val="0"/>
          <w:sz w:val="36"/>
          <w:szCs w:val="36"/>
        </w:rPr>
        <w:t xml:space="preserve">housing on brownfield land </w:t>
      </w:r>
      <w:r w:rsidR="00DF668A">
        <w:rPr>
          <w:rStyle w:val="Emphasis"/>
          <w:b/>
          <w:bCs/>
          <w:i w:val="0"/>
          <w:sz w:val="36"/>
          <w:szCs w:val="36"/>
        </w:rPr>
        <w:t>over</w:t>
      </w:r>
      <w:r w:rsidR="53D2DBFB" w:rsidRPr="00DF668A">
        <w:rPr>
          <w:rStyle w:val="Emphasis"/>
          <w:b/>
          <w:bCs/>
          <w:i w:val="0"/>
          <w:sz w:val="36"/>
          <w:szCs w:val="36"/>
        </w:rPr>
        <w:t xml:space="preserve"> commercial uses</w:t>
      </w:r>
    </w:p>
    <w:p w14:paraId="2B5B0771" w14:textId="34EC579D" w:rsidR="73777EEB" w:rsidRDefault="53D2DBFB" w:rsidP="2D9A005B">
      <w:r w:rsidRPr="32202325">
        <w:rPr>
          <w:rStyle w:val="Emphasis"/>
          <w:i w:val="0"/>
          <w:sz w:val="22"/>
        </w:rPr>
        <w:t xml:space="preserve"> </w:t>
      </w:r>
    </w:p>
    <w:p w14:paraId="51594EAA" w14:textId="64358E19" w:rsidR="73777EEB" w:rsidRDefault="00743629" w:rsidP="49E4DF70">
      <w:pPr>
        <w:rPr>
          <w:rStyle w:val="Emphasis"/>
          <w:i w:val="0"/>
          <w:sz w:val="24"/>
          <w:szCs w:val="24"/>
        </w:rPr>
      </w:pPr>
      <w:r w:rsidRPr="49E4DF70">
        <w:rPr>
          <w:rStyle w:val="Emphasis"/>
          <w:i w:val="0"/>
          <w:sz w:val="24"/>
          <w:szCs w:val="24"/>
        </w:rPr>
        <w:t>50%</w:t>
      </w:r>
      <w:r w:rsidR="00475827" w:rsidRPr="49E4DF70">
        <w:rPr>
          <w:rStyle w:val="Emphasis"/>
          <w:i w:val="0"/>
          <w:sz w:val="24"/>
          <w:szCs w:val="24"/>
        </w:rPr>
        <w:t xml:space="preserve"> of British adults</w:t>
      </w:r>
      <w:r w:rsidRPr="49E4DF70">
        <w:rPr>
          <w:rStyle w:val="Emphasis"/>
          <w:i w:val="0"/>
          <w:sz w:val="24"/>
          <w:szCs w:val="24"/>
        </w:rPr>
        <w:t xml:space="preserve"> say housing should be a priority when it comes to building on brownfield land, including half </w:t>
      </w:r>
      <w:r w:rsidR="005A29F5" w:rsidRPr="49E4DF70">
        <w:rPr>
          <w:rStyle w:val="Emphasis"/>
          <w:i w:val="0"/>
          <w:sz w:val="24"/>
          <w:szCs w:val="24"/>
        </w:rPr>
        <w:t xml:space="preserve">of </w:t>
      </w:r>
      <w:r w:rsidRPr="49E4DF70">
        <w:rPr>
          <w:rStyle w:val="Emphasis"/>
          <w:i w:val="0"/>
          <w:sz w:val="24"/>
          <w:szCs w:val="24"/>
        </w:rPr>
        <w:t xml:space="preserve">2019 </w:t>
      </w:r>
      <w:r w:rsidR="53D2DBFB" w:rsidRPr="49E4DF70">
        <w:rPr>
          <w:rStyle w:val="Emphasis"/>
          <w:i w:val="0"/>
          <w:sz w:val="24"/>
          <w:szCs w:val="24"/>
        </w:rPr>
        <w:t>Conservative</w:t>
      </w:r>
      <w:r w:rsidRPr="49E4DF70">
        <w:rPr>
          <w:rStyle w:val="Emphasis"/>
          <w:i w:val="0"/>
          <w:sz w:val="24"/>
          <w:szCs w:val="24"/>
        </w:rPr>
        <w:t xml:space="preserve"> voters</w:t>
      </w:r>
      <w:r w:rsidR="53D2DBFB" w:rsidRPr="49E4DF70">
        <w:rPr>
          <w:rStyle w:val="Emphasis"/>
          <w:i w:val="0"/>
          <w:sz w:val="24"/>
          <w:szCs w:val="24"/>
        </w:rPr>
        <w:t xml:space="preserve"> (51%). Over a quarter (2</w:t>
      </w:r>
      <w:r w:rsidR="00DA0353" w:rsidRPr="49E4DF70">
        <w:rPr>
          <w:rStyle w:val="Emphasis"/>
          <w:i w:val="0"/>
          <w:sz w:val="24"/>
          <w:szCs w:val="24"/>
        </w:rPr>
        <w:t>8</w:t>
      </w:r>
      <w:r w:rsidR="53D2DBFB" w:rsidRPr="49E4DF70">
        <w:rPr>
          <w:rStyle w:val="Emphasis"/>
          <w:i w:val="0"/>
          <w:sz w:val="24"/>
          <w:szCs w:val="24"/>
        </w:rPr>
        <w:t xml:space="preserve">%) of </w:t>
      </w:r>
      <w:r w:rsidRPr="49E4DF70">
        <w:rPr>
          <w:rStyle w:val="Emphasis"/>
          <w:i w:val="0"/>
          <w:sz w:val="24"/>
          <w:szCs w:val="24"/>
        </w:rPr>
        <w:t xml:space="preserve">2019 </w:t>
      </w:r>
      <w:r w:rsidR="53D2DBFB" w:rsidRPr="49E4DF70">
        <w:rPr>
          <w:rStyle w:val="Emphasis"/>
          <w:i w:val="0"/>
          <w:sz w:val="24"/>
          <w:szCs w:val="24"/>
        </w:rPr>
        <w:t>Conservative</w:t>
      </w:r>
      <w:r w:rsidRPr="49E4DF70">
        <w:rPr>
          <w:rStyle w:val="Emphasis"/>
          <w:i w:val="0"/>
          <w:sz w:val="24"/>
          <w:szCs w:val="24"/>
        </w:rPr>
        <w:t xml:space="preserve"> voter</w:t>
      </w:r>
      <w:r w:rsidR="53D2DBFB" w:rsidRPr="49E4DF70">
        <w:rPr>
          <w:rStyle w:val="Emphasis"/>
          <w:i w:val="0"/>
          <w:sz w:val="24"/>
          <w:szCs w:val="24"/>
        </w:rPr>
        <w:t xml:space="preserve">s favour public sector buildings or community facilities, but just 9% </w:t>
      </w:r>
      <w:r w:rsidR="00E52DFE" w:rsidRPr="49E4DF70">
        <w:rPr>
          <w:rStyle w:val="Emphasis"/>
          <w:i w:val="0"/>
          <w:sz w:val="24"/>
          <w:szCs w:val="24"/>
        </w:rPr>
        <w:t xml:space="preserve">of this group </w:t>
      </w:r>
      <w:r w:rsidR="53D2DBFB" w:rsidRPr="49E4DF70">
        <w:rPr>
          <w:rStyle w:val="Emphasis"/>
          <w:i w:val="0"/>
          <w:sz w:val="24"/>
          <w:szCs w:val="24"/>
        </w:rPr>
        <w:t xml:space="preserve">think brownfield land development should focus first on commercial uses like offices, </w:t>
      </w:r>
      <w:r w:rsidR="00DF668A" w:rsidRPr="49E4DF70">
        <w:rPr>
          <w:rStyle w:val="Emphasis"/>
          <w:i w:val="0"/>
          <w:sz w:val="24"/>
          <w:szCs w:val="24"/>
        </w:rPr>
        <w:t xml:space="preserve">shops, </w:t>
      </w:r>
      <w:r w:rsidR="53D2DBFB" w:rsidRPr="49E4DF70">
        <w:rPr>
          <w:rStyle w:val="Emphasis"/>
          <w:i w:val="0"/>
          <w:sz w:val="24"/>
          <w:szCs w:val="24"/>
        </w:rPr>
        <w:t>hotels, and warehouses.</w:t>
      </w:r>
      <w:r w:rsidR="73777EEB" w:rsidRPr="49E4DF70">
        <w:rPr>
          <w:rStyle w:val="EndnoteReference"/>
          <w:sz w:val="24"/>
          <w:szCs w:val="24"/>
        </w:rPr>
        <w:endnoteReference w:id="2"/>
      </w:r>
    </w:p>
    <w:p w14:paraId="0F29D498" w14:textId="23F8C681" w:rsidR="73777EEB" w:rsidRDefault="53D2DBFB" w:rsidP="49E4DF70">
      <w:pPr>
        <w:rPr>
          <w:rStyle w:val="Emphasis"/>
          <w:i w:val="0"/>
          <w:sz w:val="24"/>
          <w:szCs w:val="24"/>
        </w:rPr>
      </w:pPr>
      <w:r w:rsidRPr="49E4DF70">
        <w:rPr>
          <w:rStyle w:val="Emphasis"/>
          <w:i w:val="0"/>
          <w:sz w:val="24"/>
          <w:szCs w:val="24"/>
        </w:rPr>
        <w:t xml:space="preserve"> </w:t>
      </w:r>
    </w:p>
    <w:p w14:paraId="0B913AE7" w14:textId="74AE8051" w:rsidR="73777EEB" w:rsidRDefault="53D2DBFB" w:rsidP="49E4DF70">
      <w:pPr>
        <w:rPr>
          <w:rStyle w:val="Emphasis"/>
          <w:i w:val="0"/>
          <w:sz w:val="24"/>
          <w:szCs w:val="24"/>
        </w:rPr>
      </w:pPr>
      <w:r w:rsidRPr="49E4DF70">
        <w:rPr>
          <w:rStyle w:val="Emphasis"/>
          <w:i w:val="0"/>
          <w:sz w:val="24"/>
          <w:szCs w:val="24"/>
        </w:rPr>
        <w:t>The YouGov poll commissioned for Coin Street Community Builders</w:t>
      </w:r>
      <w:r w:rsidR="008E7174" w:rsidRPr="49E4DF70">
        <w:rPr>
          <w:rStyle w:val="EndnoteReference"/>
          <w:sz w:val="24"/>
          <w:szCs w:val="24"/>
        </w:rPr>
        <w:endnoteReference w:id="3"/>
      </w:r>
      <w:r w:rsidRPr="49E4DF70">
        <w:rPr>
          <w:rStyle w:val="Emphasis"/>
          <w:i w:val="0"/>
          <w:sz w:val="24"/>
          <w:szCs w:val="24"/>
        </w:rPr>
        <w:t xml:space="preserve"> looks at views on developing on brownfield land – plots that have previously been used and are ready for redevelopment. </w:t>
      </w:r>
      <w:r w:rsidR="00B82966" w:rsidRPr="49E4DF70">
        <w:rPr>
          <w:rStyle w:val="Emphasis"/>
          <w:i w:val="0"/>
          <w:sz w:val="24"/>
          <w:szCs w:val="24"/>
        </w:rPr>
        <w:t xml:space="preserve">British adults </w:t>
      </w:r>
      <w:r w:rsidR="00C7602C" w:rsidRPr="49E4DF70">
        <w:rPr>
          <w:rStyle w:val="Emphasis"/>
          <w:i w:val="0"/>
          <w:sz w:val="24"/>
          <w:szCs w:val="24"/>
        </w:rPr>
        <w:t xml:space="preserve">of all common political </w:t>
      </w:r>
      <w:r w:rsidR="005A29F5" w:rsidRPr="49E4DF70">
        <w:rPr>
          <w:rStyle w:val="Emphasis"/>
          <w:i w:val="0"/>
          <w:sz w:val="24"/>
          <w:szCs w:val="24"/>
        </w:rPr>
        <w:t>affiliations</w:t>
      </w:r>
      <w:r w:rsidR="00C7602C" w:rsidRPr="49E4DF70">
        <w:rPr>
          <w:rStyle w:val="Emphasis"/>
          <w:i w:val="0"/>
          <w:sz w:val="24"/>
          <w:szCs w:val="24"/>
        </w:rPr>
        <w:t>, and demographic profiles, rated housing as the number one priority when building on brownfield sites.</w:t>
      </w:r>
    </w:p>
    <w:p w14:paraId="085CFBF1" w14:textId="2EDAF6BB" w:rsidR="73777EEB" w:rsidRDefault="53D2DBFB" w:rsidP="49E4DF70">
      <w:pPr>
        <w:rPr>
          <w:rStyle w:val="Emphasis"/>
          <w:i w:val="0"/>
          <w:sz w:val="24"/>
          <w:szCs w:val="24"/>
        </w:rPr>
      </w:pPr>
      <w:r w:rsidRPr="49E4DF70">
        <w:rPr>
          <w:rStyle w:val="Emphasis"/>
          <w:i w:val="0"/>
          <w:sz w:val="24"/>
          <w:szCs w:val="24"/>
        </w:rPr>
        <w:t xml:space="preserve"> </w:t>
      </w:r>
    </w:p>
    <w:p w14:paraId="134295A7" w14:textId="20598FC1" w:rsidR="73777EEB" w:rsidRDefault="53D2DBFB" w:rsidP="49E4DF70">
      <w:pPr>
        <w:rPr>
          <w:sz w:val="24"/>
          <w:szCs w:val="24"/>
        </w:rPr>
      </w:pPr>
      <w:r w:rsidRPr="49E4DF70">
        <w:rPr>
          <w:rStyle w:val="Emphasis"/>
          <w:i w:val="0"/>
          <w:sz w:val="24"/>
          <w:szCs w:val="24"/>
        </w:rPr>
        <w:t>340,000 homes a year are needed in the UK to meet housing need, with 145,000 of these in the social and affordable category.</w:t>
      </w:r>
      <w:r w:rsidR="00322D5A" w:rsidRPr="49E4DF70">
        <w:rPr>
          <w:rStyle w:val="EndnoteReference"/>
          <w:sz w:val="24"/>
          <w:szCs w:val="24"/>
        </w:rPr>
        <w:endnoteReference w:id="4"/>
      </w:r>
      <w:r w:rsidRPr="49E4DF70">
        <w:rPr>
          <w:rStyle w:val="Emphasis"/>
          <w:i w:val="0"/>
          <w:sz w:val="24"/>
          <w:szCs w:val="24"/>
        </w:rPr>
        <w:t xml:space="preserve"> </w:t>
      </w:r>
      <w:r w:rsidR="00096E49" w:rsidRPr="49E4DF70">
        <w:rPr>
          <w:rStyle w:val="Emphasis"/>
          <w:i w:val="0"/>
          <w:sz w:val="24"/>
          <w:szCs w:val="24"/>
        </w:rPr>
        <w:t>Despite this,</w:t>
      </w:r>
      <w:r w:rsidRPr="49E4DF70">
        <w:rPr>
          <w:rStyle w:val="Emphasis"/>
          <w:i w:val="0"/>
          <w:sz w:val="24"/>
          <w:szCs w:val="24"/>
        </w:rPr>
        <w:t xml:space="preserve"> planning applications for large office-led developments continue to crop-up, particularly in London, where the housing crisis is felt most acutely. </w:t>
      </w:r>
      <w:r w:rsidR="00096E49" w:rsidRPr="49E4DF70">
        <w:rPr>
          <w:rStyle w:val="Emphasis"/>
          <w:i w:val="0"/>
          <w:sz w:val="24"/>
          <w:szCs w:val="24"/>
        </w:rPr>
        <w:t>Meanwhile,</w:t>
      </w:r>
      <w:r w:rsidRPr="49E4DF70">
        <w:rPr>
          <w:rStyle w:val="Emphasis"/>
          <w:i w:val="0"/>
          <w:sz w:val="24"/>
          <w:szCs w:val="24"/>
        </w:rPr>
        <w:t xml:space="preserve"> Goldman Sachs warn</w:t>
      </w:r>
      <w:r w:rsidR="00551C4A" w:rsidRPr="49E4DF70">
        <w:rPr>
          <w:rStyle w:val="Emphasis"/>
          <w:i w:val="0"/>
          <w:sz w:val="24"/>
          <w:szCs w:val="24"/>
        </w:rPr>
        <w:t>ed</w:t>
      </w:r>
      <w:r w:rsidRPr="49E4DF70">
        <w:rPr>
          <w:rStyle w:val="Emphasis"/>
          <w:i w:val="0"/>
          <w:sz w:val="24"/>
          <w:szCs w:val="24"/>
        </w:rPr>
        <w:t xml:space="preserve"> in June that demand for office space is </w:t>
      </w:r>
      <w:r w:rsidR="00551C4A" w:rsidRPr="49E4DF70">
        <w:rPr>
          <w:rStyle w:val="Emphasis"/>
          <w:i w:val="0"/>
          <w:sz w:val="24"/>
          <w:szCs w:val="24"/>
        </w:rPr>
        <w:t>in decline</w:t>
      </w:r>
      <w:r w:rsidRPr="49E4DF70">
        <w:rPr>
          <w:rStyle w:val="Emphasis"/>
          <w:i w:val="0"/>
          <w:sz w:val="24"/>
          <w:szCs w:val="24"/>
        </w:rPr>
        <w:t>.</w:t>
      </w:r>
      <w:r w:rsidR="007D1514" w:rsidRPr="49E4DF70">
        <w:rPr>
          <w:rStyle w:val="EndnoteReference"/>
          <w:sz w:val="24"/>
          <w:szCs w:val="24"/>
        </w:rPr>
        <w:endnoteReference w:id="5"/>
      </w:r>
    </w:p>
    <w:p w14:paraId="54918B08" w14:textId="78D22F84" w:rsidR="73777EEB" w:rsidRDefault="53D2DBFB" w:rsidP="49E4DF70">
      <w:pPr>
        <w:rPr>
          <w:rStyle w:val="Emphasis"/>
          <w:i w:val="0"/>
          <w:sz w:val="24"/>
          <w:szCs w:val="24"/>
        </w:rPr>
      </w:pPr>
      <w:r w:rsidRPr="49E4DF70">
        <w:rPr>
          <w:rStyle w:val="Emphasis"/>
          <w:i w:val="0"/>
          <w:sz w:val="24"/>
          <w:szCs w:val="24"/>
        </w:rPr>
        <w:t xml:space="preserve"> </w:t>
      </w:r>
    </w:p>
    <w:p w14:paraId="41B32514" w14:textId="60CC273B" w:rsidR="73777EEB" w:rsidRDefault="53D2DBFB" w:rsidP="49E4DF70">
      <w:pPr>
        <w:rPr>
          <w:sz w:val="24"/>
          <w:szCs w:val="24"/>
        </w:rPr>
      </w:pPr>
      <w:r w:rsidRPr="49E4DF70">
        <w:rPr>
          <w:rStyle w:val="Emphasis"/>
          <w:i w:val="0"/>
          <w:sz w:val="24"/>
          <w:szCs w:val="24"/>
        </w:rPr>
        <w:t xml:space="preserve">The new polling data released today demonstrates public support for the government’s promise to build more homes on brownfield land in cities with the vast majority of respondents (75%) wanting to see brownfield prioritised over greenfield sites where housing is concerned. </w:t>
      </w:r>
      <w:r w:rsidR="00F117EA" w:rsidRPr="49E4DF70">
        <w:rPr>
          <w:rStyle w:val="EndnoteReference"/>
          <w:sz w:val="24"/>
          <w:szCs w:val="24"/>
        </w:rPr>
        <w:endnoteReference w:id="6"/>
      </w:r>
    </w:p>
    <w:p w14:paraId="17E8DE38" w14:textId="34CC61E6" w:rsidR="73777EEB" w:rsidRDefault="53D2DBFB" w:rsidP="49E4DF70">
      <w:pPr>
        <w:rPr>
          <w:rStyle w:val="Emphasis"/>
          <w:i w:val="0"/>
          <w:sz w:val="24"/>
          <w:szCs w:val="24"/>
        </w:rPr>
      </w:pPr>
      <w:r w:rsidRPr="49E4DF70">
        <w:rPr>
          <w:rStyle w:val="Emphasis"/>
          <w:i w:val="0"/>
          <w:sz w:val="24"/>
          <w:szCs w:val="24"/>
        </w:rPr>
        <w:t xml:space="preserve"> </w:t>
      </w:r>
    </w:p>
    <w:p w14:paraId="1B1E3757" w14:textId="657D976A" w:rsidR="005455F2" w:rsidRDefault="005455F2" w:rsidP="49E4DF70">
      <w:pPr>
        <w:rPr>
          <w:rStyle w:val="Emphasis"/>
          <w:i w:val="0"/>
          <w:sz w:val="24"/>
          <w:szCs w:val="24"/>
        </w:rPr>
      </w:pPr>
      <w:r w:rsidRPr="49E4DF70">
        <w:rPr>
          <w:rStyle w:val="Emphasis"/>
          <w:i w:val="0"/>
          <w:sz w:val="24"/>
          <w:szCs w:val="24"/>
        </w:rPr>
        <w:t>This follows a delay last month to Levelling Up Secretary</w:t>
      </w:r>
      <w:r w:rsidR="00B82966" w:rsidRPr="49E4DF70">
        <w:rPr>
          <w:rStyle w:val="Emphasis"/>
          <w:i w:val="0"/>
          <w:sz w:val="24"/>
          <w:szCs w:val="24"/>
        </w:rPr>
        <w:t>,</w:t>
      </w:r>
      <w:r w:rsidRPr="49E4DF70">
        <w:rPr>
          <w:rStyle w:val="Emphasis"/>
          <w:i w:val="0"/>
          <w:sz w:val="24"/>
          <w:szCs w:val="24"/>
        </w:rPr>
        <w:t xml:space="preserve"> Michael Gove’s final decision on plans for an enormous office block directly on London’s South Bank, home to some of the capitals most visited sites, including Oxo Tower Wharf, the Southbank Centre, the National Theatre, and Tate Modern.</w:t>
      </w:r>
    </w:p>
    <w:p w14:paraId="713DB275" w14:textId="77777777" w:rsidR="005455F2" w:rsidRDefault="005455F2" w:rsidP="49E4DF70">
      <w:pPr>
        <w:rPr>
          <w:rStyle w:val="Emphasis"/>
          <w:i w:val="0"/>
          <w:sz w:val="24"/>
          <w:szCs w:val="24"/>
        </w:rPr>
      </w:pPr>
      <w:r w:rsidRPr="49E4DF70">
        <w:rPr>
          <w:rStyle w:val="Emphasis"/>
          <w:i w:val="0"/>
          <w:sz w:val="24"/>
          <w:szCs w:val="24"/>
        </w:rPr>
        <w:t xml:space="preserve"> </w:t>
      </w:r>
    </w:p>
    <w:p w14:paraId="66F43900" w14:textId="77777777" w:rsidR="005455F2" w:rsidRDefault="005455F2" w:rsidP="49E4DF70">
      <w:pPr>
        <w:rPr>
          <w:rStyle w:val="Emphasis"/>
          <w:i w:val="0"/>
          <w:sz w:val="24"/>
          <w:szCs w:val="24"/>
        </w:rPr>
      </w:pPr>
      <w:r w:rsidRPr="49E4DF70">
        <w:rPr>
          <w:rStyle w:val="Emphasis"/>
          <w:i w:val="0"/>
          <w:sz w:val="24"/>
          <w:szCs w:val="24"/>
        </w:rPr>
        <w:t>Plans for the office building, dubbed a “monstrosity”</w:t>
      </w:r>
      <w:r w:rsidRPr="49E4DF70">
        <w:rPr>
          <w:rStyle w:val="EndnoteReference"/>
          <w:sz w:val="24"/>
          <w:szCs w:val="24"/>
        </w:rPr>
        <w:endnoteReference w:id="7"/>
      </w:r>
      <w:r w:rsidRPr="49E4DF70">
        <w:rPr>
          <w:rStyle w:val="Emphasis"/>
          <w:i w:val="0"/>
          <w:sz w:val="24"/>
          <w:szCs w:val="24"/>
        </w:rPr>
        <w:t xml:space="preserve"> and “slab”</w:t>
      </w:r>
      <w:r w:rsidRPr="49E4DF70">
        <w:rPr>
          <w:rStyle w:val="EndnoteReference"/>
          <w:sz w:val="24"/>
          <w:szCs w:val="24"/>
        </w:rPr>
        <w:endnoteReference w:id="8"/>
      </w:r>
      <w:r w:rsidRPr="49E4DF70">
        <w:rPr>
          <w:rStyle w:val="Emphasis"/>
          <w:i w:val="0"/>
          <w:sz w:val="24"/>
          <w:szCs w:val="24"/>
        </w:rPr>
        <w:t xml:space="preserve"> by commentators, went to public inquiry late last year following significant public opposition to the development. The local community, along with nearly 6000 signatories to a public petition, is hoping Michael Gove will refuse planning permission for Mitsubishi Estates’ proposed redevelopment of the former ITV television studios and headquarters. Not a single home is included in the Mitsubishi scheme despite ITV having been granted consent in 2018 for a mixed-use development including 211 flats. The Secretary of State’s decision is expected on or before 6 October.</w:t>
      </w:r>
    </w:p>
    <w:p w14:paraId="24B28A18" w14:textId="2D41C255" w:rsidR="49E4DF70" w:rsidRDefault="49E4DF70" w:rsidP="49E4DF70">
      <w:pPr>
        <w:rPr>
          <w:rStyle w:val="Emphasis"/>
          <w:i w:val="0"/>
          <w:sz w:val="24"/>
          <w:szCs w:val="24"/>
        </w:rPr>
      </w:pPr>
    </w:p>
    <w:p w14:paraId="0546FE37" w14:textId="0AC4E2DB" w:rsidR="49E4DF70" w:rsidRDefault="49E4DF70" w:rsidP="49E4DF70">
      <w:pPr>
        <w:rPr>
          <w:rStyle w:val="Emphasis"/>
          <w:i w:val="0"/>
          <w:sz w:val="24"/>
          <w:szCs w:val="24"/>
        </w:rPr>
      </w:pPr>
    </w:p>
    <w:p w14:paraId="65269B41" w14:textId="350B7919" w:rsidR="73777EEB" w:rsidRDefault="53D2DBFB" w:rsidP="49E4DF70">
      <w:pPr>
        <w:rPr>
          <w:rStyle w:val="Emphasis"/>
          <w:i w:val="0"/>
          <w:sz w:val="24"/>
          <w:szCs w:val="24"/>
        </w:rPr>
      </w:pPr>
      <w:r w:rsidRPr="49E4DF70">
        <w:rPr>
          <w:rStyle w:val="Emphasis"/>
          <w:i w:val="0"/>
          <w:sz w:val="24"/>
          <w:szCs w:val="24"/>
        </w:rPr>
        <w:t xml:space="preserve"> </w:t>
      </w:r>
    </w:p>
    <w:p w14:paraId="01051512" w14:textId="12AA6883" w:rsidR="73777EEB" w:rsidRDefault="53D2DBFB" w:rsidP="49E4DF70">
      <w:pPr>
        <w:rPr>
          <w:rStyle w:val="Emphasis"/>
          <w:b/>
          <w:bCs/>
          <w:i w:val="0"/>
          <w:sz w:val="24"/>
          <w:szCs w:val="24"/>
        </w:rPr>
      </w:pPr>
      <w:r w:rsidRPr="49E4DF70">
        <w:rPr>
          <w:rStyle w:val="Emphasis"/>
          <w:b/>
          <w:bCs/>
          <w:i w:val="0"/>
          <w:sz w:val="24"/>
          <w:szCs w:val="24"/>
        </w:rPr>
        <w:lastRenderedPageBreak/>
        <w:t>David Hopkins, Director of Community at Coin Street Community Builders said:</w:t>
      </w:r>
    </w:p>
    <w:p w14:paraId="6AB92771" w14:textId="414DAB27" w:rsidR="73777EEB" w:rsidRDefault="53D2DBFB" w:rsidP="49E4DF70">
      <w:pPr>
        <w:rPr>
          <w:rStyle w:val="Emphasis"/>
          <w:i w:val="0"/>
          <w:sz w:val="24"/>
          <w:szCs w:val="24"/>
        </w:rPr>
      </w:pPr>
      <w:r w:rsidRPr="49E4DF70">
        <w:rPr>
          <w:rStyle w:val="Emphasis"/>
          <w:i w:val="0"/>
          <w:sz w:val="24"/>
          <w:szCs w:val="24"/>
        </w:rPr>
        <w:t xml:space="preserve"> </w:t>
      </w:r>
    </w:p>
    <w:p w14:paraId="383F384F" w14:textId="0D9005B0" w:rsidR="73777EEB" w:rsidRDefault="53D2DBFB" w:rsidP="49E4DF70">
      <w:pPr>
        <w:rPr>
          <w:rStyle w:val="Emphasis"/>
          <w:i w:val="0"/>
          <w:sz w:val="24"/>
          <w:szCs w:val="24"/>
        </w:rPr>
      </w:pPr>
      <w:r w:rsidRPr="49E4DF70">
        <w:rPr>
          <w:rStyle w:val="Emphasis"/>
          <w:i w:val="0"/>
          <w:sz w:val="24"/>
          <w:szCs w:val="24"/>
        </w:rPr>
        <w:t xml:space="preserve">“There is a housing crisis across the country and especially in London. We support redevelopment on under-used brownfield sites, but housing and green spaces should be a part of those plans wherever possible. </w:t>
      </w:r>
    </w:p>
    <w:p w14:paraId="3FD9023C" w14:textId="04DD3808" w:rsidR="73777EEB" w:rsidRDefault="53D2DBFB" w:rsidP="49E4DF70">
      <w:pPr>
        <w:rPr>
          <w:rStyle w:val="Emphasis"/>
          <w:i w:val="0"/>
          <w:sz w:val="24"/>
          <w:szCs w:val="24"/>
        </w:rPr>
      </w:pPr>
      <w:r w:rsidRPr="49E4DF70">
        <w:rPr>
          <w:rStyle w:val="Emphasis"/>
          <w:i w:val="0"/>
          <w:sz w:val="24"/>
          <w:szCs w:val="24"/>
        </w:rPr>
        <w:t xml:space="preserve"> </w:t>
      </w:r>
    </w:p>
    <w:p w14:paraId="5A6733FF" w14:textId="034949AB" w:rsidR="73777EEB" w:rsidRDefault="53D2DBFB" w:rsidP="49E4DF70">
      <w:pPr>
        <w:rPr>
          <w:rStyle w:val="Emphasis"/>
          <w:i w:val="0"/>
          <w:sz w:val="24"/>
          <w:szCs w:val="24"/>
        </w:rPr>
      </w:pPr>
      <w:r w:rsidRPr="49E4DF70">
        <w:rPr>
          <w:rStyle w:val="Emphasis"/>
          <w:i w:val="0"/>
          <w:sz w:val="24"/>
          <w:szCs w:val="24"/>
        </w:rPr>
        <w:t>“What we see with 72 Upper Ground is an office block that meets neither the housing needs of the local community nor business needs of the area. It clearly goes against what most people want from these kinds of sites and places like the South Bank.</w:t>
      </w:r>
    </w:p>
    <w:p w14:paraId="086318AB" w14:textId="28DD4393" w:rsidR="73777EEB" w:rsidRDefault="53D2DBFB" w:rsidP="49E4DF70">
      <w:pPr>
        <w:rPr>
          <w:rStyle w:val="Emphasis"/>
          <w:i w:val="0"/>
          <w:sz w:val="24"/>
          <w:szCs w:val="24"/>
        </w:rPr>
      </w:pPr>
      <w:r w:rsidRPr="49E4DF70">
        <w:rPr>
          <w:rStyle w:val="Emphasis"/>
          <w:i w:val="0"/>
          <w:sz w:val="24"/>
          <w:szCs w:val="24"/>
        </w:rPr>
        <w:t xml:space="preserve"> </w:t>
      </w:r>
    </w:p>
    <w:p w14:paraId="19B52566" w14:textId="77777777" w:rsidR="00A45BEE" w:rsidRDefault="53D2DBFB" w:rsidP="49E4DF70">
      <w:pPr>
        <w:rPr>
          <w:rStyle w:val="Emphasis"/>
          <w:i w:val="0"/>
          <w:sz w:val="24"/>
          <w:szCs w:val="24"/>
        </w:rPr>
      </w:pPr>
      <w:r w:rsidRPr="49E4DF70">
        <w:rPr>
          <w:rStyle w:val="Emphasis"/>
          <w:i w:val="0"/>
          <w:sz w:val="24"/>
          <w:szCs w:val="24"/>
        </w:rPr>
        <w:t>“Michael Gove is getting it right when he takes developments like 72 Upper Ground to public inquiry. We are pleased he is spending extra time to really consider what’s right for neighbourhoods where there is a desperate shortage of homes for residents.”</w:t>
      </w:r>
    </w:p>
    <w:p w14:paraId="7AF0FA37" w14:textId="77777777" w:rsidR="00A45BEE" w:rsidRDefault="00A45BEE" w:rsidP="49E4DF70">
      <w:pPr>
        <w:rPr>
          <w:rStyle w:val="Emphasis"/>
          <w:b/>
          <w:bCs/>
          <w:i w:val="0"/>
          <w:sz w:val="24"/>
          <w:szCs w:val="24"/>
        </w:rPr>
      </w:pPr>
    </w:p>
    <w:p w14:paraId="0E66D12B" w14:textId="37216595" w:rsidR="00A45BEE" w:rsidRDefault="00A45BEE" w:rsidP="49E4DF70">
      <w:pPr>
        <w:rPr>
          <w:rStyle w:val="Emphasis"/>
          <w:b/>
          <w:bCs/>
          <w:i w:val="0"/>
          <w:sz w:val="24"/>
          <w:szCs w:val="24"/>
        </w:rPr>
      </w:pPr>
      <w:r w:rsidRPr="49E4DF70">
        <w:rPr>
          <w:rStyle w:val="Emphasis"/>
          <w:b/>
          <w:bCs/>
          <w:i w:val="0"/>
          <w:sz w:val="24"/>
          <w:szCs w:val="24"/>
        </w:rPr>
        <w:t>[Ends]</w:t>
      </w:r>
    </w:p>
    <w:p w14:paraId="6DF1C19B" w14:textId="77777777" w:rsidR="00A45BEE" w:rsidRDefault="00A45BEE" w:rsidP="49E4DF70">
      <w:pPr>
        <w:rPr>
          <w:rStyle w:val="Emphasis"/>
          <w:b/>
          <w:bCs/>
          <w:i w:val="0"/>
          <w:sz w:val="24"/>
          <w:szCs w:val="24"/>
        </w:rPr>
      </w:pPr>
    </w:p>
    <w:p w14:paraId="44CA13A5" w14:textId="7C2315E6" w:rsidR="49E4DF70" w:rsidRDefault="49E4DF70">
      <w:r w:rsidRPr="49E4DF70">
        <w:rPr>
          <w:sz w:val="24"/>
          <w:szCs w:val="24"/>
        </w:rPr>
        <w:br w:type="page"/>
      </w:r>
    </w:p>
    <w:p w14:paraId="14DE02BB" w14:textId="19730E21" w:rsidR="2D9A005B" w:rsidRPr="00A45BEE" w:rsidRDefault="73777EEB" w:rsidP="49E4DF70">
      <w:pPr>
        <w:rPr>
          <w:rStyle w:val="Emphasis"/>
          <w:rFonts w:eastAsia="Arial" w:cs="Arial"/>
          <w:i w:val="0"/>
          <w:sz w:val="22"/>
        </w:rPr>
      </w:pPr>
      <w:r w:rsidRPr="49E4DF70">
        <w:rPr>
          <w:rStyle w:val="Emphasis"/>
          <w:rFonts w:eastAsia="Arial" w:cs="Arial"/>
          <w:b/>
          <w:bCs/>
          <w:i w:val="0"/>
          <w:sz w:val="22"/>
        </w:rPr>
        <w:lastRenderedPageBreak/>
        <w:t>Notes to editors</w:t>
      </w:r>
    </w:p>
    <w:p w14:paraId="6BC792DF" w14:textId="77777777" w:rsidR="005E7818" w:rsidRPr="00A45BEE" w:rsidRDefault="005E7818" w:rsidP="49E4DF70">
      <w:pPr>
        <w:rPr>
          <w:rStyle w:val="Emphasis"/>
          <w:rFonts w:eastAsia="Arial" w:cs="Arial"/>
          <w:b/>
          <w:bCs/>
          <w:i w:val="0"/>
          <w:sz w:val="22"/>
        </w:rPr>
      </w:pPr>
    </w:p>
    <w:p w14:paraId="4C3F2F88" w14:textId="4A91771B" w:rsidR="00C7602C" w:rsidRPr="00A45BEE" w:rsidRDefault="00C7602C" w:rsidP="49E4DF70">
      <w:pPr>
        <w:rPr>
          <w:rStyle w:val="Emphasis"/>
          <w:rFonts w:eastAsia="Arial" w:cs="Arial"/>
          <w:i w:val="0"/>
          <w:sz w:val="22"/>
          <w:lang w:eastAsia="en-GB"/>
        </w:rPr>
      </w:pPr>
      <w:r w:rsidRPr="49E4DF70">
        <w:rPr>
          <w:rFonts w:eastAsia="Arial" w:cs="Arial"/>
          <w:sz w:val="22"/>
          <w:lang w:eastAsia="en-GB"/>
        </w:rPr>
        <w:t>All figures, unless otherwise stated, are from YouGov Plc. Total sample size was 2,020 adults. Fieldwork was undertaken between 26th - 28th August 2023. The survey was carried out online. The figures have been weighted and are representative of all GB adults (aged 18+).</w:t>
      </w:r>
    </w:p>
    <w:p w14:paraId="316823F4" w14:textId="0F8AD3E3" w:rsidR="00674391" w:rsidRDefault="00674391" w:rsidP="49E4DF70">
      <w:pPr>
        <w:rPr>
          <w:rStyle w:val="Emphasis"/>
          <w:rFonts w:eastAsia="Arial" w:cs="Arial"/>
          <w:b/>
          <w:bCs/>
          <w:i w:val="0"/>
          <w:sz w:val="22"/>
        </w:rPr>
      </w:pPr>
    </w:p>
    <w:p w14:paraId="19F0AE4D" w14:textId="35F2C45D" w:rsidR="00674391" w:rsidRDefault="00674391" w:rsidP="49E4DF70">
      <w:pPr>
        <w:spacing w:after="120"/>
        <w:rPr>
          <w:rFonts w:eastAsia="Arial" w:cs="Arial"/>
          <w:b/>
          <w:bCs/>
          <w:sz w:val="22"/>
        </w:rPr>
      </w:pPr>
      <w:r w:rsidRPr="49E4DF70">
        <w:rPr>
          <w:rFonts w:eastAsia="Arial" w:cs="Arial"/>
          <w:b/>
          <w:bCs/>
          <w:sz w:val="22"/>
        </w:rPr>
        <w:t>72 Upper Ground</w:t>
      </w:r>
    </w:p>
    <w:p w14:paraId="4D784C64" w14:textId="293B33E7" w:rsidR="00636FA5" w:rsidRDefault="00674391" w:rsidP="49E4DF70">
      <w:pPr>
        <w:rPr>
          <w:rFonts w:eastAsia="Arial" w:cs="Arial"/>
          <w:sz w:val="22"/>
        </w:rPr>
      </w:pPr>
      <w:r w:rsidRPr="49E4DF70">
        <w:rPr>
          <w:rFonts w:eastAsia="Arial" w:cs="Arial"/>
          <w:sz w:val="22"/>
        </w:rPr>
        <w:t>Developed by CO-RE and Mitsubishi Estate, 72 Upper Ground received planning consent from Lambeth Council in March 2022</w:t>
      </w:r>
      <w:r w:rsidR="00636FA5" w:rsidRPr="49E4DF70">
        <w:rPr>
          <w:rFonts w:eastAsia="Arial" w:cs="Arial"/>
          <w:sz w:val="22"/>
        </w:rPr>
        <w:t>, but</w:t>
      </w:r>
      <w:r w:rsidR="00E425A6" w:rsidRPr="49E4DF70">
        <w:rPr>
          <w:rFonts w:eastAsia="Arial" w:cs="Arial"/>
          <w:sz w:val="22"/>
        </w:rPr>
        <w:t xml:space="preserve"> was</w:t>
      </w:r>
      <w:r w:rsidR="00636FA5" w:rsidRPr="49E4DF70">
        <w:rPr>
          <w:rFonts w:eastAsia="Arial" w:cs="Arial"/>
          <w:sz w:val="22"/>
        </w:rPr>
        <w:t xml:space="preserve"> “called in” by then Secretary of State, Greg Clark in September of the same year.  </w:t>
      </w:r>
    </w:p>
    <w:p w14:paraId="6D9AAC42" w14:textId="77777777" w:rsidR="00636FA5" w:rsidRDefault="00636FA5" w:rsidP="49E4DF70">
      <w:pPr>
        <w:rPr>
          <w:rFonts w:eastAsia="Arial" w:cs="Arial"/>
          <w:sz w:val="22"/>
        </w:rPr>
      </w:pPr>
    </w:p>
    <w:p w14:paraId="3EE361DC" w14:textId="08638EE0" w:rsidR="00674391" w:rsidRDefault="00636FA5" w:rsidP="49E4DF70">
      <w:pPr>
        <w:rPr>
          <w:rFonts w:eastAsia="Arial" w:cs="Arial"/>
          <w:sz w:val="22"/>
        </w:rPr>
      </w:pPr>
      <w:r w:rsidRPr="49E4DF70">
        <w:rPr>
          <w:rFonts w:eastAsia="Arial" w:cs="Arial"/>
          <w:sz w:val="22"/>
        </w:rPr>
        <w:t xml:space="preserve">The new development on the South Bank would have 225% of the floor area of the 1970s tower it replaces and add nearly 30% to its height. It </w:t>
      </w:r>
      <w:r w:rsidR="00674391" w:rsidRPr="49E4DF70">
        <w:rPr>
          <w:rFonts w:eastAsia="Arial" w:cs="Arial"/>
          <w:sz w:val="22"/>
        </w:rPr>
        <w:t>has been described in the national press as ´a brute of a building’ (Rowan Moore in The Observer</w:t>
      </w:r>
      <w:proofErr w:type="gramStart"/>
      <w:r w:rsidR="00674391" w:rsidRPr="49E4DF70">
        <w:rPr>
          <w:rFonts w:eastAsia="Arial" w:cs="Arial"/>
          <w:sz w:val="22"/>
        </w:rPr>
        <w:t>),´</w:t>
      </w:r>
      <w:proofErr w:type="gramEnd"/>
      <w:r w:rsidR="00674391" w:rsidRPr="49E4DF70">
        <w:rPr>
          <w:rFonts w:eastAsia="Arial" w:cs="Arial"/>
          <w:sz w:val="22"/>
        </w:rPr>
        <w:t>an aggressive behemoth’ (Sir Simon Jenkins in The Guardian), and ´a grotesque monstrosity’ (Richard Morrison in The Times).</w:t>
      </w:r>
    </w:p>
    <w:p w14:paraId="26F86EA6" w14:textId="77777777" w:rsidR="00636FA5" w:rsidRDefault="00636FA5" w:rsidP="49E4DF70">
      <w:pPr>
        <w:rPr>
          <w:rFonts w:eastAsia="Arial" w:cs="Arial"/>
          <w:sz w:val="22"/>
        </w:rPr>
      </w:pPr>
    </w:p>
    <w:p w14:paraId="24319DED" w14:textId="0966BFA2" w:rsidR="00636FA5" w:rsidRDefault="00636FA5" w:rsidP="49E4DF70">
      <w:pPr>
        <w:rPr>
          <w:rFonts w:eastAsia="Arial" w:cs="Arial"/>
          <w:sz w:val="22"/>
        </w:rPr>
      </w:pPr>
      <w:r w:rsidRPr="49E4DF70">
        <w:rPr>
          <w:rFonts w:eastAsia="Arial" w:cs="Arial"/>
          <w:sz w:val="22"/>
        </w:rPr>
        <w:t>Secretary of State, Michael Gove was due to make a final decision on the planning application for 72 Upper Ground on 8 August. He has now delayed that decision to on or before 6 October.</w:t>
      </w:r>
    </w:p>
    <w:p w14:paraId="1281490D" w14:textId="77777777" w:rsidR="00EB49FC" w:rsidRDefault="00EB49FC" w:rsidP="49E4DF70">
      <w:pPr>
        <w:rPr>
          <w:rFonts w:eastAsia="Arial" w:cs="Arial"/>
          <w:sz w:val="22"/>
        </w:rPr>
      </w:pPr>
    </w:p>
    <w:p w14:paraId="42A8B277" w14:textId="77777777" w:rsidR="00EB49FC" w:rsidRPr="00EB49FC" w:rsidRDefault="00EB49FC" w:rsidP="00EB49FC">
      <w:pPr>
        <w:pStyle w:val="xmsonormal"/>
        <w:shd w:val="clear" w:color="auto" w:fill="FFFFFF"/>
        <w:spacing w:before="0" w:beforeAutospacing="0" w:after="0" w:afterAutospacing="0"/>
        <w:rPr>
          <w:rFonts w:ascii="Arial" w:hAnsi="Arial" w:cs="Arial"/>
          <w:color w:val="242424"/>
          <w:sz w:val="22"/>
          <w:szCs w:val="22"/>
        </w:rPr>
      </w:pPr>
      <w:r w:rsidRPr="00EB49FC">
        <w:rPr>
          <w:rFonts w:ascii="Arial" w:hAnsi="Arial" w:cs="Arial"/>
          <w:b/>
          <w:bCs/>
          <w:color w:val="000000"/>
          <w:sz w:val="22"/>
          <w:szCs w:val="22"/>
          <w:bdr w:val="none" w:sz="0" w:space="0" w:color="auto" w:frame="1"/>
        </w:rPr>
        <w:t>Housing need</w:t>
      </w:r>
    </w:p>
    <w:p w14:paraId="5CD34E47" w14:textId="77777777" w:rsidR="00EB49FC" w:rsidRPr="00EB49FC" w:rsidRDefault="00EB49FC" w:rsidP="00EB49FC">
      <w:pPr>
        <w:pStyle w:val="xmsonormal"/>
        <w:shd w:val="clear" w:color="auto" w:fill="FFFFFF"/>
        <w:spacing w:before="0" w:beforeAutospacing="0" w:after="0" w:afterAutospacing="0"/>
        <w:rPr>
          <w:rFonts w:ascii="Arial" w:hAnsi="Arial" w:cs="Arial"/>
          <w:color w:val="242424"/>
          <w:sz w:val="22"/>
          <w:szCs w:val="22"/>
        </w:rPr>
      </w:pPr>
      <w:r w:rsidRPr="00EB49FC">
        <w:rPr>
          <w:rFonts w:ascii="Arial" w:hAnsi="Arial" w:cs="Arial"/>
          <w:b/>
          <w:bCs/>
          <w:color w:val="000000"/>
          <w:sz w:val="22"/>
          <w:szCs w:val="22"/>
          <w:bdr w:val="none" w:sz="0" w:space="0" w:color="auto" w:frame="1"/>
        </w:rPr>
        <w:t> </w:t>
      </w:r>
    </w:p>
    <w:p w14:paraId="316EEBD6" w14:textId="77777777" w:rsidR="00EB49FC" w:rsidRPr="00EB49FC" w:rsidRDefault="00EB49FC" w:rsidP="00EB49FC">
      <w:pPr>
        <w:pStyle w:val="xmsonormal"/>
        <w:shd w:val="clear" w:color="auto" w:fill="FFFFFF"/>
        <w:spacing w:before="0" w:beforeAutospacing="0" w:after="0" w:afterAutospacing="0"/>
        <w:rPr>
          <w:rFonts w:ascii="Arial" w:hAnsi="Arial" w:cs="Arial"/>
          <w:color w:val="242424"/>
          <w:sz w:val="22"/>
          <w:szCs w:val="22"/>
        </w:rPr>
      </w:pPr>
      <w:r w:rsidRPr="00EB49FC">
        <w:rPr>
          <w:rStyle w:val="xnormaltextrun"/>
          <w:rFonts w:ascii="Arial" w:eastAsiaTheme="majorEastAsia" w:hAnsi="Arial" w:cs="Arial"/>
          <w:color w:val="000000"/>
          <w:sz w:val="22"/>
          <w:szCs w:val="22"/>
          <w:bdr w:val="none" w:sz="0" w:space="0" w:color="auto" w:frame="1"/>
          <w:shd w:val="clear" w:color="auto" w:fill="FFFFFF"/>
        </w:rPr>
        <w:t>Lambeth Council states on its website that it receives over 3,000 new housing applications annually, while the housing waiting list has more than 27,000 applicants. In 21/22 714 net additional dwellings were completed against the London Plan target of 1,335.</w:t>
      </w:r>
    </w:p>
    <w:p w14:paraId="075A35C1" w14:textId="77777777" w:rsidR="00EB49FC" w:rsidRPr="00EB49FC" w:rsidRDefault="00EB49FC" w:rsidP="00EB49FC">
      <w:pPr>
        <w:pStyle w:val="xmsonormal"/>
        <w:shd w:val="clear" w:color="auto" w:fill="FFFFFF"/>
        <w:spacing w:before="0" w:beforeAutospacing="0" w:after="0" w:afterAutospacing="0"/>
        <w:rPr>
          <w:rFonts w:ascii="Arial" w:hAnsi="Arial" w:cs="Arial"/>
          <w:color w:val="242424"/>
          <w:sz w:val="22"/>
          <w:szCs w:val="22"/>
        </w:rPr>
      </w:pPr>
      <w:r w:rsidRPr="00EB49FC">
        <w:rPr>
          <w:rStyle w:val="xnormaltextrun"/>
          <w:rFonts w:ascii="Arial" w:eastAsiaTheme="majorEastAsia" w:hAnsi="Arial" w:cs="Arial"/>
          <w:color w:val="000000"/>
          <w:sz w:val="22"/>
          <w:szCs w:val="22"/>
          <w:bdr w:val="none" w:sz="0" w:space="0" w:color="auto" w:frame="1"/>
          <w:shd w:val="clear" w:color="auto" w:fill="FFFFFF"/>
        </w:rPr>
        <w:t> </w:t>
      </w:r>
    </w:p>
    <w:p w14:paraId="2ACCEBC1" w14:textId="77777777" w:rsidR="00EB49FC" w:rsidRPr="00EB49FC" w:rsidRDefault="00EB49FC" w:rsidP="00EB49FC">
      <w:pPr>
        <w:pStyle w:val="xmsonormal"/>
        <w:shd w:val="clear" w:color="auto" w:fill="FFFFFF"/>
        <w:spacing w:before="0" w:beforeAutospacing="0" w:after="0" w:afterAutospacing="0"/>
        <w:rPr>
          <w:rFonts w:ascii="Arial" w:hAnsi="Arial" w:cs="Arial"/>
          <w:color w:val="242424"/>
          <w:sz w:val="22"/>
          <w:szCs w:val="22"/>
        </w:rPr>
      </w:pPr>
      <w:r w:rsidRPr="00EB49FC">
        <w:rPr>
          <w:rStyle w:val="Emphasis"/>
          <w:rFonts w:ascii="Arial" w:eastAsiaTheme="majorEastAsia" w:hAnsi="Arial" w:cs="Arial"/>
          <w:i w:val="0"/>
          <w:iCs w:val="0"/>
          <w:color w:val="242424"/>
          <w:sz w:val="22"/>
          <w:szCs w:val="22"/>
          <w:bdr w:val="none" w:sz="0" w:space="0" w:color="auto" w:frame="1"/>
        </w:rPr>
        <w:t>Over 74,000 homes a year are needed in London to meet housing need, with around 45,000 of these in the social and affordable categories.</w:t>
      </w:r>
    </w:p>
    <w:p w14:paraId="0F62E800" w14:textId="11B20293" w:rsidR="00636FA5" w:rsidRPr="00EB49FC" w:rsidRDefault="00636FA5" w:rsidP="49E4DF70">
      <w:pPr>
        <w:rPr>
          <w:rFonts w:eastAsia="Arial" w:cs="Arial"/>
          <w:sz w:val="22"/>
        </w:rPr>
      </w:pPr>
    </w:p>
    <w:p w14:paraId="481B23FD" w14:textId="27067428" w:rsidR="00636FA5" w:rsidRDefault="55347F46" w:rsidP="49E4DF70">
      <w:pPr>
        <w:rPr>
          <w:rFonts w:eastAsia="Arial" w:cs="Arial"/>
          <w:b/>
          <w:bCs/>
          <w:iCs w:val="0"/>
          <w:color w:val="000000" w:themeColor="text1"/>
          <w:sz w:val="22"/>
        </w:rPr>
      </w:pPr>
      <w:r w:rsidRPr="49E4DF70">
        <w:rPr>
          <w:rFonts w:eastAsia="Arial" w:cs="Arial"/>
          <w:b/>
          <w:bCs/>
          <w:iCs w:val="0"/>
          <w:color w:val="000000" w:themeColor="text1"/>
          <w:sz w:val="22"/>
        </w:rPr>
        <w:t>Carbon</w:t>
      </w:r>
    </w:p>
    <w:p w14:paraId="52D4A22F" w14:textId="20CA65A7" w:rsidR="00636FA5" w:rsidRDefault="55347F46" w:rsidP="49E4DF70">
      <w:pPr>
        <w:rPr>
          <w:rFonts w:eastAsia="Arial" w:cs="Arial"/>
          <w:b/>
          <w:bCs/>
          <w:iCs w:val="0"/>
          <w:color w:val="000000" w:themeColor="text1"/>
          <w:sz w:val="22"/>
        </w:rPr>
      </w:pPr>
      <w:r w:rsidRPr="49E4DF70">
        <w:rPr>
          <w:rFonts w:eastAsia="Arial" w:cs="Arial"/>
          <w:b/>
          <w:bCs/>
          <w:iCs w:val="0"/>
          <w:color w:val="000000" w:themeColor="text1"/>
          <w:sz w:val="22"/>
        </w:rPr>
        <w:t xml:space="preserve"> </w:t>
      </w:r>
    </w:p>
    <w:p w14:paraId="4C4968A4" w14:textId="1FF5A62A" w:rsidR="00636FA5" w:rsidRPr="00493956" w:rsidRDefault="55347F46" w:rsidP="49E4DF70">
      <w:pPr>
        <w:rPr>
          <w:rFonts w:eastAsia="Arial" w:cs="Arial"/>
          <w:iCs w:val="0"/>
          <w:color w:val="000000" w:themeColor="text1"/>
          <w:sz w:val="22"/>
        </w:rPr>
      </w:pPr>
      <w:r w:rsidRPr="00493956">
        <w:rPr>
          <w:rFonts w:eastAsia="Arial" w:cs="Arial"/>
          <w:iCs w:val="0"/>
          <w:color w:val="000000" w:themeColor="text1"/>
          <w:sz w:val="22"/>
        </w:rPr>
        <w:t>On Carbon, the argument of local campaigners is that the environmental impact would be inherently less if parts of the current ITV building were reused to create a mixed-use scheme for both commercial and residential use.  Consultant Kiru Balson from engineer firm Max Fordham prepared a report for the public inquiry</w:t>
      </w:r>
      <w:r w:rsidR="00493956" w:rsidRPr="00493956">
        <w:rPr>
          <w:rFonts w:cs="Arial"/>
          <w:color w:val="242424"/>
          <w:sz w:val="22"/>
          <w:shd w:val="clear" w:color="auto" w:fill="FFFFFF"/>
        </w:rPr>
        <w:t>– can be found here </w:t>
      </w:r>
      <w:hyperlink r:id="rId12" w:tooltip="Original URL: https://drive.google.com/drive/u/0/folders/16wCc6-78SXX9Bwqk0O8Y58ZHj1Gq2uD0. Click or tap if you trust this link." w:history="1">
        <w:r w:rsidR="00493956" w:rsidRPr="00493956">
          <w:rPr>
            <w:rStyle w:val="Hyperlink"/>
            <w:rFonts w:cs="Arial"/>
            <w:sz w:val="22"/>
            <w:bdr w:val="none" w:sz="0" w:space="0" w:color="auto" w:frame="1"/>
            <w:shd w:val="clear" w:color="auto" w:fill="FFFFFF"/>
          </w:rPr>
          <w:t>CD 9 - Save Our Southbank's Inquiry Documents - Google Drive</w:t>
        </w:r>
      </w:hyperlink>
      <w:r w:rsidR="00493956" w:rsidRPr="00493956">
        <w:rPr>
          <w:rFonts w:cs="Arial"/>
          <w:color w:val="242424"/>
          <w:sz w:val="22"/>
          <w:shd w:val="clear" w:color="auto" w:fill="FFFFFF"/>
        </w:rPr>
        <w:t> and </w:t>
      </w:r>
      <w:hyperlink r:id="rId13" w:tooltip="Original URL: https://drive.google.com/drive/u/0/folders/16wCc6-78SXX9Bwqk0O8Y58ZHj1Gq2uD0. Click or tap if you trust this link." w:history="1">
        <w:r w:rsidR="00493956" w:rsidRPr="00493956">
          <w:rPr>
            <w:rStyle w:val="Hyperlink"/>
            <w:rFonts w:cs="Arial"/>
            <w:sz w:val="22"/>
            <w:bdr w:val="none" w:sz="0" w:space="0" w:color="auto" w:frame="1"/>
            <w:shd w:val="clear" w:color="auto" w:fill="FFFFFF"/>
          </w:rPr>
          <w:t>CD 9 - Save Our Southbank's Inquiry Documents - Google Drive</w:t>
        </w:r>
      </w:hyperlink>
    </w:p>
    <w:p w14:paraId="42A86189" w14:textId="458B2D54" w:rsidR="00636FA5" w:rsidRPr="00493956" w:rsidRDefault="55347F46" w:rsidP="49E4DF70">
      <w:pPr>
        <w:rPr>
          <w:rFonts w:eastAsia="Arial" w:cs="Arial"/>
          <w:iCs w:val="0"/>
          <w:color w:val="000000" w:themeColor="text1"/>
          <w:sz w:val="22"/>
        </w:rPr>
      </w:pPr>
      <w:r w:rsidRPr="00493956">
        <w:rPr>
          <w:rFonts w:eastAsia="Arial" w:cs="Arial"/>
          <w:iCs w:val="0"/>
          <w:color w:val="000000" w:themeColor="text1"/>
          <w:sz w:val="22"/>
        </w:rPr>
        <w:t xml:space="preserve"> </w:t>
      </w:r>
    </w:p>
    <w:p w14:paraId="27BFBE44" w14:textId="44B1D373" w:rsidR="00636FA5" w:rsidRDefault="55347F46" w:rsidP="49E4DF70">
      <w:pPr>
        <w:rPr>
          <w:rFonts w:eastAsia="Arial" w:cs="Arial"/>
          <w:iCs w:val="0"/>
          <w:color w:val="000000" w:themeColor="text1"/>
          <w:sz w:val="22"/>
        </w:rPr>
      </w:pPr>
      <w:r w:rsidRPr="49E4DF70">
        <w:rPr>
          <w:rFonts w:eastAsia="Arial" w:cs="Arial"/>
          <w:iCs w:val="0"/>
          <w:color w:val="000000" w:themeColor="text1"/>
          <w:sz w:val="22"/>
        </w:rPr>
        <w:t>Notably, on the developers plans to build a two layered basement across the site, Balson noted:</w:t>
      </w:r>
    </w:p>
    <w:p w14:paraId="0BD3FA25" w14:textId="45AFBF5B" w:rsidR="00636FA5" w:rsidRDefault="55347F46" w:rsidP="49E4DF70">
      <w:pPr>
        <w:rPr>
          <w:rFonts w:eastAsia="Arial" w:cs="Arial"/>
          <w:iCs w:val="0"/>
          <w:color w:val="000000" w:themeColor="text1"/>
          <w:sz w:val="22"/>
        </w:rPr>
      </w:pPr>
      <w:r w:rsidRPr="49E4DF70">
        <w:rPr>
          <w:rFonts w:eastAsia="Arial" w:cs="Arial"/>
          <w:iCs w:val="0"/>
          <w:color w:val="000000" w:themeColor="text1"/>
          <w:sz w:val="22"/>
        </w:rPr>
        <w:t xml:space="preserve"> </w:t>
      </w:r>
    </w:p>
    <w:p w14:paraId="0211602A" w14:textId="38AE0BA0" w:rsidR="00636FA5" w:rsidRDefault="55347F46" w:rsidP="49E4DF70">
      <w:pPr>
        <w:rPr>
          <w:rFonts w:eastAsia="Arial" w:cs="Arial"/>
          <w:i/>
          <w:color w:val="000000" w:themeColor="text1"/>
          <w:sz w:val="22"/>
        </w:rPr>
      </w:pPr>
      <w:r w:rsidRPr="49E4DF70">
        <w:rPr>
          <w:rFonts w:eastAsia="Arial" w:cs="Arial"/>
          <w:i/>
          <w:color w:val="000000" w:themeColor="text1"/>
          <w:sz w:val="22"/>
        </w:rPr>
        <w:t>Excavation waste – The proposal is to create a new two-level basement across the majority of site footprint. Around 23-24 Olympic pools amount of soil will have to be shifted off-site, and to</w:t>
      </w:r>
    </w:p>
    <w:p w14:paraId="224C7733" w14:textId="77241DC4" w:rsidR="00636FA5" w:rsidRDefault="55347F46" w:rsidP="49E4DF70">
      <w:pPr>
        <w:rPr>
          <w:rFonts w:eastAsia="Arial" w:cs="Arial"/>
          <w:i/>
          <w:color w:val="000000" w:themeColor="text1"/>
          <w:sz w:val="22"/>
        </w:rPr>
      </w:pPr>
      <w:r w:rsidRPr="49E4DF70">
        <w:rPr>
          <w:rFonts w:eastAsia="Arial" w:cs="Arial"/>
          <w:i/>
          <w:color w:val="000000" w:themeColor="text1"/>
          <w:sz w:val="22"/>
        </w:rPr>
        <w:t>comply with the LPG, 95% of this would have to be put to beneficial use. No commitment has</w:t>
      </w:r>
    </w:p>
    <w:p w14:paraId="24E9072A" w14:textId="28BE2268" w:rsidR="00636FA5" w:rsidRDefault="55347F46" w:rsidP="49E4DF70">
      <w:pPr>
        <w:rPr>
          <w:rFonts w:eastAsia="Arial" w:cs="Arial"/>
          <w:i/>
          <w:color w:val="000000" w:themeColor="text1"/>
          <w:sz w:val="22"/>
        </w:rPr>
      </w:pPr>
      <w:r w:rsidRPr="49E4DF70">
        <w:rPr>
          <w:rFonts w:eastAsia="Arial" w:cs="Arial"/>
          <w:i/>
          <w:color w:val="000000" w:themeColor="text1"/>
          <w:sz w:val="22"/>
        </w:rPr>
        <w:t xml:space="preserve">been made by the applicant to meet this policy requirement. Aside from waste, the basement </w:t>
      </w:r>
      <w:proofErr w:type="gramStart"/>
      <w:r w:rsidRPr="49E4DF70">
        <w:rPr>
          <w:rFonts w:eastAsia="Arial" w:cs="Arial"/>
          <w:i/>
          <w:color w:val="000000" w:themeColor="text1"/>
          <w:sz w:val="22"/>
        </w:rPr>
        <w:t>is</w:t>
      </w:r>
      <w:proofErr w:type="gramEnd"/>
    </w:p>
    <w:p w14:paraId="241143B3" w14:textId="1EC7F4CF" w:rsidR="00636FA5" w:rsidRDefault="55347F46" w:rsidP="49E4DF70">
      <w:pPr>
        <w:rPr>
          <w:rFonts w:eastAsia="Arial" w:cs="Arial"/>
          <w:i/>
          <w:color w:val="000000" w:themeColor="text1"/>
          <w:sz w:val="22"/>
        </w:rPr>
      </w:pPr>
      <w:r w:rsidRPr="49E4DF70">
        <w:rPr>
          <w:rFonts w:eastAsia="Arial" w:cs="Arial"/>
          <w:i/>
          <w:color w:val="000000" w:themeColor="text1"/>
          <w:sz w:val="22"/>
        </w:rPr>
        <w:t>to be constructed out of concrete piles (1300mm diameter) around the perimeter of the site.</w:t>
      </w:r>
    </w:p>
    <w:p w14:paraId="2303DA01" w14:textId="231D1B9E" w:rsidR="00636FA5" w:rsidRDefault="55347F46" w:rsidP="49E4DF70">
      <w:pPr>
        <w:rPr>
          <w:rFonts w:eastAsia="Arial" w:cs="Arial"/>
          <w:i/>
          <w:color w:val="000000" w:themeColor="text1"/>
          <w:sz w:val="22"/>
        </w:rPr>
      </w:pPr>
      <w:r w:rsidRPr="49E4DF70">
        <w:rPr>
          <w:rFonts w:eastAsia="Arial" w:cs="Arial"/>
          <w:i/>
          <w:color w:val="000000" w:themeColor="text1"/>
          <w:sz w:val="22"/>
        </w:rPr>
        <w:t xml:space="preserve">Considering the scale of construction operation required to create the basement, a </w:t>
      </w:r>
      <w:proofErr w:type="gramStart"/>
      <w:r w:rsidRPr="49E4DF70">
        <w:rPr>
          <w:rFonts w:eastAsia="Arial" w:cs="Arial"/>
          <w:i/>
          <w:color w:val="000000" w:themeColor="text1"/>
          <w:sz w:val="22"/>
        </w:rPr>
        <w:t>justification</w:t>
      </w:r>
      <w:proofErr w:type="gramEnd"/>
    </w:p>
    <w:p w14:paraId="7E8E9EB2" w14:textId="7301BEE2" w:rsidR="00636FA5" w:rsidRDefault="55347F46" w:rsidP="49E4DF70">
      <w:pPr>
        <w:rPr>
          <w:rFonts w:eastAsia="Arial" w:cs="Arial"/>
          <w:i/>
          <w:color w:val="000000" w:themeColor="text1"/>
          <w:sz w:val="22"/>
        </w:rPr>
      </w:pPr>
      <w:r w:rsidRPr="49E4DF70">
        <w:rPr>
          <w:rFonts w:eastAsia="Arial" w:cs="Arial"/>
          <w:i/>
          <w:color w:val="000000" w:themeColor="text1"/>
          <w:sz w:val="22"/>
        </w:rPr>
        <w:t>for provision of this basement should be given considering the scale of additional embodied</w:t>
      </w:r>
    </w:p>
    <w:p w14:paraId="14682219" w14:textId="689C22A3" w:rsidR="00636FA5" w:rsidRDefault="55347F46" w:rsidP="49E4DF70">
      <w:pPr>
        <w:rPr>
          <w:rFonts w:eastAsia="Arial" w:cs="Arial"/>
          <w:i/>
          <w:color w:val="000000" w:themeColor="text1"/>
          <w:sz w:val="22"/>
        </w:rPr>
      </w:pPr>
      <w:r w:rsidRPr="49E4DF70">
        <w:rPr>
          <w:rFonts w:eastAsia="Arial" w:cs="Arial"/>
          <w:i/>
          <w:color w:val="000000" w:themeColor="text1"/>
          <w:sz w:val="22"/>
        </w:rPr>
        <w:t>carbon incurred, waste related environmental impact, added construction energy use.</w:t>
      </w:r>
    </w:p>
    <w:p w14:paraId="2D2826E4" w14:textId="1215CBB7" w:rsidR="00636FA5" w:rsidRDefault="00636FA5" w:rsidP="49E4DF70">
      <w:pPr>
        <w:rPr>
          <w:rFonts w:eastAsia="Arial" w:cs="Arial"/>
          <w:i/>
          <w:color w:val="000000" w:themeColor="text1"/>
          <w:sz w:val="22"/>
        </w:rPr>
      </w:pPr>
    </w:p>
    <w:p w14:paraId="790C426E" w14:textId="5A265FA8" w:rsidR="00636FA5" w:rsidRDefault="60AD8FFE" w:rsidP="49E4DF70">
      <w:pPr>
        <w:rPr>
          <w:rFonts w:eastAsia="Arial" w:cs="Arial"/>
          <w:b/>
          <w:bCs/>
          <w:iCs w:val="0"/>
          <w:color w:val="000000" w:themeColor="text1"/>
          <w:sz w:val="22"/>
        </w:rPr>
      </w:pPr>
      <w:r w:rsidRPr="49E4DF70">
        <w:rPr>
          <w:rFonts w:eastAsia="Arial" w:cs="Arial"/>
          <w:b/>
          <w:bCs/>
          <w:iCs w:val="0"/>
          <w:color w:val="000000" w:themeColor="text1"/>
          <w:sz w:val="22"/>
        </w:rPr>
        <w:t>Office space demand</w:t>
      </w:r>
    </w:p>
    <w:p w14:paraId="005F2D4A" w14:textId="0BE7DEBB" w:rsidR="00636FA5" w:rsidRDefault="60AD8FFE" w:rsidP="49E4DF70">
      <w:pPr>
        <w:rPr>
          <w:rFonts w:eastAsia="Arial" w:cs="Arial"/>
          <w:b/>
          <w:bCs/>
          <w:iCs w:val="0"/>
          <w:color w:val="000000" w:themeColor="text1"/>
          <w:sz w:val="22"/>
        </w:rPr>
      </w:pPr>
      <w:r w:rsidRPr="49E4DF70">
        <w:rPr>
          <w:rFonts w:eastAsia="Arial" w:cs="Arial"/>
          <w:b/>
          <w:bCs/>
          <w:iCs w:val="0"/>
          <w:color w:val="000000" w:themeColor="text1"/>
          <w:sz w:val="22"/>
        </w:rPr>
        <w:t xml:space="preserve"> </w:t>
      </w:r>
    </w:p>
    <w:p w14:paraId="520C2F4C" w14:textId="353DFF3F" w:rsidR="00636FA5" w:rsidRDefault="60AD8FFE" w:rsidP="49E4DF70">
      <w:pPr>
        <w:rPr>
          <w:rFonts w:eastAsia="Arial" w:cs="Arial"/>
          <w:iCs w:val="0"/>
          <w:color w:val="000000" w:themeColor="text1"/>
          <w:sz w:val="22"/>
        </w:rPr>
      </w:pPr>
      <w:r w:rsidRPr="49E4DF70">
        <w:rPr>
          <w:rFonts w:eastAsia="Arial" w:cs="Arial"/>
          <w:iCs w:val="0"/>
          <w:color w:val="000000" w:themeColor="text1"/>
          <w:sz w:val="22"/>
        </w:rPr>
        <w:t xml:space="preserve">We noted in the press release recent </w:t>
      </w:r>
      <w:hyperlink r:id="rId14">
        <w:r w:rsidRPr="49E4DF70">
          <w:rPr>
            <w:rStyle w:val="Hyperlink"/>
            <w:rFonts w:eastAsia="Arial" w:cs="Arial"/>
            <w:iCs w:val="0"/>
            <w:color w:val="000000" w:themeColor="text1"/>
            <w:sz w:val="22"/>
          </w:rPr>
          <w:t>warnings from Goldman Sachs on the London office market weakening</w:t>
        </w:r>
      </w:hyperlink>
      <w:r w:rsidRPr="49E4DF70">
        <w:rPr>
          <w:rFonts w:eastAsia="Arial" w:cs="Arial"/>
          <w:iCs w:val="0"/>
          <w:color w:val="000000" w:themeColor="text1"/>
          <w:sz w:val="22"/>
        </w:rPr>
        <w:t>.</w:t>
      </w:r>
    </w:p>
    <w:p w14:paraId="393C6EB0" w14:textId="1FDF6200" w:rsidR="00636FA5" w:rsidRDefault="60AD8FFE" w:rsidP="49E4DF70">
      <w:pPr>
        <w:rPr>
          <w:rFonts w:eastAsia="Arial" w:cs="Arial"/>
          <w:iCs w:val="0"/>
          <w:color w:val="000000" w:themeColor="text1"/>
          <w:sz w:val="22"/>
        </w:rPr>
      </w:pPr>
      <w:r w:rsidRPr="49E4DF70">
        <w:rPr>
          <w:rFonts w:eastAsia="Arial" w:cs="Arial"/>
          <w:iCs w:val="0"/>
          <w:color w:val="000000" w:themeColor="text1"/>
          <w:sz w:val="22"/>
        </w:rPr>
        <w:t xml:space="preserve"> </w:t>
      </w:r>
    </w:p>
    <w:p w14:paraId="667111C2" w14:textId="3E3AB5A9" w:rsidR="00636FA5" w:rsidRDefault="60AD8FFE" w:rsidP="49E4DF70">
      <w:pPr>
        <w:rPr>
          <w:rFonts w:eastAsia="Arial" w:cs="Arial"/>
          <w:iCs w:val="0"/>
          <w:color w:val="000000" w:themeColor="text1"/>
          <w:sz w:val="22"/>
        </w:rPr>
      </w:pPr>
      <w:r w:rsidRPr="49E4DF70">
        <w:rPr>
          <w:rFonts w:eastAsia="Arial" w:cs="Arial"/>
          <w:iCs w:val="0"/>
          <w:color w:val="000000" w:themeColor="text1"/>
          <w:sz w:val="22"/>
        </w:rPr>
        <w:t>Michael Ball of the Waterloo Community Development Group provided this additional analysis.</w:t>
      </w:r>
    </w:p>
    <w:p w14:paraId="69B8799C" w14:textId="517D40D3" w:rsidR="00636FA5" w:rsidRDefault="60AD8FFE" w:rsidP="49E4DF70">
      <w:pPr>
        <w:rPr>
          <w:rFonts w:eastAsia="Arial" w:cs="Arial"/>
          <w:iCs w:val="0"/>
          <w:color w:val="000000" w:themeColor="text1"/>
          <w:sz w:val="22"/>
        </w:rPr>
      </w:pPr>
      <w:r w:rsidRPr="49E4DF70">
        <w:rPr>
          <w:rFonts w:eastAsia="Arial" w:cs="Arial"/>
          <w:iCs w:val="0"/>
          <w:color w:val="000000" w:themeColor="text1"/>
          <w:sz w:val="22"/>
        </w:rPr>
        <w:t xml:space="preserve"> </w:t>
      </w:r>
    </w:p>
    <w:p w14:paraId="71336888" w14:textId="49487965" w:rsidR="00636FA5" w:rsidRDefault="60AD8FFE" w:rsidP="49E4DF70">
      <w:pPr>
        <w:rPr>
          <w:rFonts w:eastAsia="Arial" w:cs="Arial"/>
          <w:i/>
          <w:color w:val="000000" w:themeColor="text1"/>
          <w:sz w:val="22"/>
        </w:rPr>
      </w:pPr>
      <w:r w:rsidRPr="49E4DF70">
        <w:rPr>
          <w:rFonts w:eastAsia="Arial" w:cs="Arial"/>
          <w:i/>
          <w:color w:val="000000" w:themeColor="text1"/>
          <w:sz w:val="22"/>
        </w:rPr>
        <w:lastRenderedPageBreak/>
        <w:t xml:space="preserve">Waterloo is designated an 'Opportunity Area' in the London Plan, with an expectation that office space for an additional 15,000 jobs will be developed from 2007-41 (plus 1,500 additional homes). </w:t>
      </w:r>
    </w:p>
    <w:p w14:paraId="0C4685BE" w14:textId="7137EB3C" w:rsidR="00636FA5" w:rsidRDefault="60AD8FFE" w:rsidP="49E4DF70">
      <w:pPr>
        <w:rPr>
          <w:rFonts w:eastAsia="Arial" w:cs="Arial"/>
          <w:i/>
          <w:color w:val="000000" w:themeColor="text1"/>
          <w:sz w:val="22"/>
        </w:rPr>
      </w:pPr>
      <w:r w:rsidRPr="49E4DF70">
        <w:rPr>
          <w:rFonts w:eastAsia="Arial" w:cs="Arial"/>
          <w:i/>
          <w:color w:val="000000" w:themeColor="text1"/>
          <w:sz w:val="22"/>
        </w:rPr>
        <w:t xml:space="preserve"> </w:t>
      </w:r>
    </w:p>
    <w:p w14:paraId="6A9DB73A" w14:textId="07D26B25" w:rsidR="00636FA5" w:rsidRDefault="700D4FD1" w:rsidP="49E4DF70">
      <w:pPr>
        <w:rPr>
          <w:rFonts w:eastAsia="Arial" w:cs="Arial"/>
          <w:i/>
          <w:color w:val="000000" w:themeColor="text1"/>
          <w:sz w:val="22"/>
        </w:rPr>
      </w:pPr>
      <w:r w:rsidRPr="49E4DF70">
        <w:rPr>
          <w:rFonts w:eastAsia="Arial" w:cs="Arial"/>
          <w:i/>
          <w:color w:val="000000" w:themeColor="text1"/>
          <w:sz w:val="22"/>
        </w:rPr>
        <w:t>Several</w:t>
      </w:r>
      <w:r w:rsidR="60AD8FFE" w:rsidRPr="49E4DF70">
        <w:rPr>
          <w:rFonts w:eastAsia="Arial" w:cs="Arial"/>
          <w:i/>
          <w:color w:val="000000" w:themeColor="text1"/>
          <w:sz w:val="22"/>
        </w:rPr>
        <w:t xml:space="preserve"> major office schemes have come forward in Waterloo in recent years:</w:t>
      </w:r>
    </w:p>
    <w:p w14:paraId="39947CC8" w14:textId="5021FD45" w:rsidR="00636FA5" w:rsidRDefault="60AD8FFE" w:rsidP="49E4DF70">
      <w:pPr>
        <w:rPr>
          <w:rFonts w:eastAsia="Arial" w:cs="Arial"/>
          <w:i/>
          <w:color w:val="000000" w:themeColor="text1"/>
          <w:sz w:val="22"/>
        </w:rPr>
      </w:pPr>
      <w:r w:rsidRPr="49E4DF70">
        <w:rPr>
          <w:rFonts w:eastAsia="Arial" w:cs="Arial"/>
          <w:i/>
          <w:color w:val="000000" w:themeColor="text1"/>
          <w:sz w:val="22"/>
        </w:rPr>
        <w:t xml:space="preserve"> </w:t>
      </w:r>
    </w:p>
    <w:tbl>
      <w:tblPr>
        <w:tblW w:w="0" w:type="auto"/>
        <w:tblLayout w:type="fixed"/>
        <w:tblLook w:val="06A0" w:firstRow="1" w:lastRow="0" w:firstColumn="1" w:lastColumn="0" w:noHBand="1" w:noVBand="1"/>
      </w:tblPr>
      <w:tblGrid>
        <w:gridCol w:w="3095"/>
        <w:gridCol w:w="3095"/>
        <w:gridCol w:w="3095"/>
      </w:tblGrid>
      <w:tr w:rsidR="49E4DF70" w14:paraId="0C004062" w14:textId="77777777" w:rsidTr="49E4DF70">
        <w:trPr>
          <w:trHeight w:val="345"/>
        </w:trPr>
        <w:tc>
          <w:tcPr>
            <w:tcW w:w="3095" w:type="dxa"/>
            <w:tcBorders>
              <w:top w:val="single" w:sz="8" w:space="0" w:color="ABABAB"/>
              <w:left w:val="single" w:sz="8" w:space="0" w:color="ABABAB"/>
              <w:bottom w:val="single" w:sz="8" w:space="0" w:color="ABABAB"/>
              <w:right w:val="single" w:sz="8" w:space="0" w:color="ABABAB"/>
            </w:tcBorders>
            <w:tcMar>
              <w:top w:w="12" w:type="dxa"/>
              <w:left w:w="12" w:type="dxa"/>
              <w:bottom w:w="12" w:type="dxa"/>
              <w:right w:w="12" w:type="dxa"/>
            </w:tcMar>
            <w:vAlign w:val="center"/>
          </w:tcPr>
          <w:p w14:paraId="34707292" w14:textId="5A6FAA07" w:rsidR="49E4DF70" w:rsidRDefault="49E4DF70" w:rsidP="49E4DF70">
            <w:pPr>
              <w:rPr>
                <w:rFonts w:eastAsia="Arial" w:cs="Arial"/>
                <w:sz w:val="22"/>
              </w:rPr>
            </w:pPr>
          </w:p>
        </w:tc>
        <w:tc>
          <w:tcPr>
            <w:tcW w:w="3095" w:type="dxa"/>
            <w:tcBorders>
              <w:top w:val="single" w:sz="8" w:space="0" w:color="ABABAB"/>
              <w:left w:val="single" w:sz="8" w:space="0" w:color="ABABAB"/>
              <w:bottom w:val="single" w:sz="8" w:space="0" w:color="ABABAB"/>
              <w:right w:val="single" w:sz="8" w:space="0" w:color="ABABAB"/>
            </w:tcBorders>
            <w:tcMar>
              <w:top w:w="12" w:type="dxa"/>
              <w:left w:w="12" w:type="dxa"/>
              <w:bottom w:w="12" w:type="dxa"/>
              <w:right w:w="12" w:type="dxa"/>
            </w:tcMar>
            <w:vAlign w:val="center"/>
          </w:tcPr>
          <w:p w14:paraId="0E4813EB" w14:textId="4CCF8DC8" w:rsidR="49E4DF70" w:rsidRDefault="49E4DF70" w:rsidP="49E4DF70">
            <w:pPr>
              <w:rPr>
                <w:rFonts w:eastAsia="Arial" w:cs="Arial"/>
                <w:sz w:val="22"/>
              </w:rPr>
            </w:pPr>
          </w:p>
        </w:tc>
        <w:tc>
          <w:tcPr>
            <w:tcW w:w="3095" w:type="dxa"/>
            <w:tcBorders>
              <w:top w:val="single" w:sz="8" w:space="0" w:color="ABABAB"/>
              <w:left w:val="single" w:sz="8" w:space="0" w:color="ABABAB"/>
              <w:bottom w:val="single" w:sz="8" w:space="0" w:color="ABABAB"/>
              <w:right w:val="single" w:sz="8" w:space="0" w:color="ABABAB"/>
            </w:tcBorders>
            <w:tcMar>
              <w:top w:w="12" w:type="dxa"/>
              <w:left w:w="12" w:type="dxa"/>
              <w:bottom w:w="12" w:type="dxa"/>
              <w:right w:w="12" w:type="dxa"/>
            </w:tcMar>
            <w:vAlign w:val="center"/>
          </w:tcPr>
          <w:p w14:paraId="091D1279" w14:textId="6145BF23" w:rsidR="49E4DF70" w:rsidRDefault="49E4DF70" w:rsidP="49E4DF70">
            <w:pPr>
              <w:rPr>
                <w:rFonts w:eastAsia="Arial" w:cs="Arial"/>
                <w:sz w:val="22"/>
              </w:rPr>
            </w:pPr>
          </w:p>
        </w:tc>
      </w:tr>
      <w:tr w:rsidR="49E4DF70" w14:paraId="0C1BADA1" w14:textId="77777777" w:rsidTr="49E4DF70">
        <w:trPr>
          <w:trHeight w:val="345"/>
        </w:trPr>
        <w:tc>
          <w:tcPr>
            <w:tcW w:w="3095" w:type="dxa"/>
            <w:tcBorders>
              <w:top w:val="single" w:sz="8" w:space="0" w:color="ABABAB"/>
              <w:left w:val="single" w:sz="8" w:space="0" w:color="ABABAB"/>
              <w:bottom w:val="single" w:sz="8" w:space="0" w:color="ABABAB"/>
              <w:right w:val="single" w:sz="8" w:space="0" w:color="ABABAB"/>
            </w:tcBorders>
            <w:tcMar>
              <w:top w:w="12" w:type="dxa"/>
              <w:left w:w="12" w:type="dxa"/>
              <w:bottom w:w="12" w:type="dxa"/>
              <w:right w:w="12" w:type="dxa"/>
            </w:tcMar>
            <w:vAlign w:val="center"/>
          </w:tcPr>
          <w:p w14:paraId="1F5115EC" w14:textId="2EF6C183" w:rsidR="49E4DF70" w:rsidRDefault="49E4DF70" w:rsidP="49E4DF70">
            <w:pPr>
              <w:rPr>
                <w:rFonts w:eastAsia="Arial" w:cs="Arial"/>
                <w:i/>
                <w:color w:val="242424"/>
                <w:sz w:val="22"/>
              </w:rPr>
            </w:pPr>
            <w:r w:rsidRPr="49E4DF70">
              <w:rPr>
                <w:rFonts w:eastAsia="Arial" w:cs="Arial"/>
                <w:i/>
                <w:color w:val="242424"/>
                <w:sz w:val="22"/>
              </w:rPr>
              <w:t>Shell Centre</w:t>
            </w:r>
          </w:p>
        </w:tc>
        <w:tc>
          <w:tcPr>
            <w:tcW w:w="3095" w:type="dxa"/>
            <w:tcBorders>
              <w:top w:val="single" w:sz="8" w:space="0" w:color="ABABAB"/>
              <w:left w:val="single" w:sz="8" w:space="0" w:color="ABABAB"/>
              <w:bottom w:val="single" w:sz="8" w:space="0" w:color="ABABAB"/>
              <w:right w:val="single" w:sz="8" w:space="0" w:color="ABABAB"/>
            </w:tcBorders>
            <w:tcMar>
              <w:top w:w="12" w:type="dxa"/>
              <w:left w:w="12" w:type="dxa"/>
              <w:bottom w:w="12" w:type="dxa"/>
              <w:right w:w="12" w:type="dxa"/>
            </w:tcMar>
            <w:vAlign w:val="center"/>
          </w:tcPr>
          <w:p w14:paraId="566F62B4" w14:textId="1A238C66" w:rsidR="49E4DF70" w:rsidRDefault="49E4DF70" w:rsidP="49E4DF70">
            <w:pPr>
              <w:rPr>
                <w:rFonts w:eastAsia="Arial" w:cs="Arial"/>
                <w:i/>
                <w:color w:val="242424"/>
                <w:sz w:val="22"/>
              </w:rPr>
            </w:pPr>
            <w:r w:rsidRPr="49E4DF70">
              <w:rPr>
                <w:rFonts w:eastAsia="Arial" w:cs="Arial"/>
                <w:i/>
                <w:color w:val="242424"/>
                <w:sz w:val="22"/>
              </w:rPr>
              <w:t>built 2016</w:t>
            </w:r>
          </w:p>
        </w:tc>
        <w:tc>
          <w:tcPr>
            <w:tcW w:w="3095" w:type="dxa"/>
            <w:tcBorders>
              <w:top w:val="single" w:sz="8" w:space="0" w:color="ABABAB"/>
              <w:left w:val="single" w:sz="8" w:space="0" w:color="ABABAB"/>
              <w:bottom w:val="single" w:sz="8" w:space="0" w:color="ABABAB"/>
              <w:right w:val="single" w:sz="8" w:space="0" w:color="ABABAB"/>
            </w:tcBorders>
            <w:tcMar>
              <w:top w:w="12" w:type="dxa"/>
              <w:left w:w="12" w:type="dxa"/>
              <w:bottom w:w="12" w:type="dxa"/>
              <w:right w:w="12" w:type="dxa"/>
            </w:tcMar>
            <w:vAlign w:val="center"/>
          </w:tcPr>
          <w:p w14:paraId="20CAA84A" w14:textId="276D9C07" w:rsidR="49E4DF70" w:rsidRDefault="49E4DF70" w:rsidP="49E4DF70">
            <w:pPr>
              <w:rPr>
                <w:rFonts w:eastAsia="Arial" w:cs="Arial"/>
                <w:i/>
                <w:color w:val="242424"/>
                <w:sz w:val="22"/>
              </w:rPr>
            </w:pPr>
            <w:r w:rsidRPr="49E4DF70">
              <w:rPr>
                <w:rFonts w:eastAsia="Arial" w:cs="Arial"/>
                <w:i/>
                <w:color w:val="242424"/>
                <w:sz w:val="22"/>
              </w:rPr>
              <w:t>73,000m2</w:t>
            </w:r>
          </w:p>
        </w:tc>
      </w:tr>
      <w:tr w:rsidR="49E4DF70" w14:paraId="759106EB" w14:textId="77777777" w:rsidTr="49E4DF70">
        <w:trPr>
          <w:trHeight w:val="495"/>
        </w:trPr>
        <w:tc>
          <w:tcPr>
            <w:tcW w:w="3095" w:type="dxa"/>
            <w:tcBorders>
              <w:top w:val="single" w:sz="8" w:space="0" w:color="ABABAB"/>
              <w:left w:val="single" w:sz="8" w:space="0" w:color="ABABAB"/>
              <w:bottom w:val="single" w:sz="8" w:space="0" w:color="ABABAB"/>
              <w:right w:val="single" w:sz="8" w:space="0" w:color="ABABAB"/>
            </w:tcBorders>
            <w:tcMar>
              <w:top w:w="12" w:type="dxa"/>
              <w:left w:w="12" w:type="dxa"/>
              <w:bottom w:w="12" w:type="dxa"/>
              <w:right w:w="12" w:type="dxa"/>
            </w:tcMar>
            <w:vAlign w:val="center"/>
          </w:tcPr>
          <w:p w14:paraId="0E2A2EBE" w14:textId="49083CBA" w:rsidR="49E4DF70" w:rsidRDefault="49E4DF70" w:rsidP="49E4DF70">
            <w:pPr>
              <w:rPr>
                <w:rFonts w:eastAsia="Arial" w:cs="Arial"/>
                <w:i/>
                <w:color w:val="242424"/>
                <w:sz w:val="22"/>
              </w:rPr>
            </w:pPr>
            <w:r w:rsidRPr="49E4DF70">
              <w:rPr>
                <w:rFonts w:eastAsia="Arial" w:cs="Arial"/>
                <w:i/>
                <w:color w:val="242424"/>
                <w:sz w:val="22"/>
              </w:rPr>
              <w:t>Elizabeth House, York Rd</w:t>
            </w:r>
          </w:p>
        </w:tc>
        <w:tc>
          <w:tcPr>
            <w:tcW w:w="3095" w:type="dxa"/>
            <w:tcBorders>
              <w:top w:val="single" w:sz="8" w:space="0" w:color="ABABAB"/>
              <w:left w:val="single" w:sz="8" w:space="0" w:color="ABABAB"/>
              <w:bottom w:val="single" w:sz="8" w:space="0" w:color="ABABAB"/>
              <w:right w:val="single" w:sz="8" w:space="0" w:color="ABABAB"/>
            </w:tcBorders>
            <w:tcMar>
              <w:top w:w="12" w:type="dxa"/>
              <w:left w:w="12" w:type="dxa"/>
              <w:bottom w:w="12" w:type="dxa"/>
              <w:right w:w="12" w:type="dxa"/>
            </w:tcMar>
            <w:vAlign w:val="center"/>
          </w:tcPr>
          <w:p w14:paraId="555F2840" w14:textId="44CA85D0" w:rsidR="49E4DF70" w:rsidRDefault="49E4DF70" w:rsidP="49E4DF70">
            <w:pPr>
              <w:rPr>
                <w:rFonts w:eastAsia="Arial" w:cs="Arial"/>
                <w:i/>
                <w:color w:val="242424"/>
                <w:sz w:val="22"/>
              </w:rPr>
            </w:pPr>
            <w:r w:rsidRPr="49E4DF70">
              <w:rPr>
                <w:rFonts w:eastAsia="Arial" w:cs="Arial"/>
                <w:i/>
                <w:color w:val="242424"/>
                <w:sz w:val="22"/>
              </w:rPr>
              <w:t>approvals 2013, 2021</w:t>
            </w:r>
          </w:p>
        </w:tc>
        <w:tc>
          <w:tcPr>
            <w:tcW w:w="3095" w:type="dxa"/>
            <w:tcBorders>
              <w:top w:val="single" w:sz="8" w:space="0" w:color="ABABAB"/>
              <w:left w:val="single" w:sz="8" w:space="0" w:color="ABABAB"/>
              <w:bottom w:val="single" w:sz="8" w:space="0" w:color="ABABAB"/>
              <w:right w:val="single" w:sz="8" w:space="0" w:color="ABABAB"/>
            </w:tcBorders>
            <w:tcMar>
              <w:top w:w="12" w:type="dxa"/>
              <w:left w:w="12" w:type="dxa"/>
              <w:bottom w:w="12" w:type="dxa"/>
              <w:right w:w="12" w:type="dxa"/>
            </w:tcMar>
            <w:vAlign w:val="center"/>
          </w:tcPr>
          <w:p w14:paraId="6CEF8CCB" w14:textId="609131CF" w:rsidR="49E4DF70" w:rsidRDefault="49E4DF70" w:rsidP="49E4DF70">
            <w:pPr>
              <w:rPr>
                <w:rFonts w:eastAsia="Arial" w:cs="Arial"/>
                <w:i/>
                <w:color w:val="242424"/>
                <w:sz w:val="22"/>
              </w:rPr>
            </w:pPr>
            <w:r w:rsidRPr="49E4DF70">
              <w:rPr>
                <w:rFonts w:eastAsia="Arial" w:cs="Arial"/>
                <w:i/>
                <w:color w:val="242424"/>
                <w:sz w:val="22"/>
              </w:rPr>
              <w:t>146,000m2</w:t>
            </w:r>
          </w:p>
        </w:tc>
      </w:tr>
      <w:tr w:rsidR="49E4DF70" w14:paraId="6EC4862E" w14:textId="77777777" w:rsidTr="49E4DF70">
        <w:trPr>
          <w:trHeight w:val="645"/>
        </w:trPr>
        <w:tc>
          <w:tcPr>
            <w:tcW w:w="3095" w:type="dxa"/>
            <w:tcBorders>
              <w:top w:val="single" w:sz="8" w:space="0" w:color="ABABAB"/>
              <w:left w:val="single" w:sz="8" w:space="0" w:color="ABABAB"/>
              <w:bottom w:val="single" w:sz="8" w:space="0" w:color="ABABAB"/>
              <w:right w:val="single" w:sz="8" w:space="0" w:color="ABABAB"/>
            </w:tcBorders>
            <w:tcMar>
              <w:top w:w="12" w:type="dxa"/>
              <w:left w:w="12" w:type="dxa"/>
              <w:bottom w:w="12" w:type="dxa"/>
              <w:right w:w="12" w:type="dxa"/>
            </w:tcMar>
            <w:vAlign w:val="center"/>
          </w:tcPr>
          <w:p w14:paraId="29873A2C" w14:textId="309632E9" w:rsidR="49E4DF70" w:rsidRDefault="49E4DF70" w:rsidP="49E4DF70">
            <w:pPr>
              <w:rPr>
                <w:rFonts w:eastAsia="Arial" w:cs="Arial"/>
                <w:i/>
                <w:color w:val="242424"/>
                <w:sz w:val="22"/>
              </w:rPr>
            </w:pPr>
            <w:r w:rsidRPr="49E4DF70">
              <w:rPr>
                <w:rFonts w:eastAsia="Arial" w:cs="Arial"/>
                <w:i/>
                <w:color w:val="242424"/>
                <w:sz w:val="22"/>
              </w:rPr>
              <w:t>Waterloo Estate, Waterloo Rd</w:t>
            </w:r>
          </w:p>
        </w:tc>
        <w:tc>
          <w:tcPr>
            <w:tcW w:w="3095" w:type="dxa"/>
            <w:tcBorders>
              <w:top w:val="single" w:sz="8" w:space="0" w:color="ABABAB"/>
              <w:left w:val="single" w:sz="8" w:space="0" w:color="ABABAB"/>
              <w:bottom w:val="single" w:sz="8" w:space="0" w:color="ABABAB"/>
              <w:right w:val="single" w:sz="8" w:space="0" w:color="ABABAB"/>
            </w:tcBorders>
            <w:tcMar>
              <w:top w:w="12" w:type="dxa"/>
              <w:left w:w="12" w:type="dxa"/>
              <w:bottom w:w="12" w:type="dxa"/>
              <w:right w:w="12" w:type="dxa"/>
            </w:tcMar>
            <w:vAlign w:val="center"/>
          </w:tcPr>
          <w:p w14:paraId="71C280AA" w14:textId="75ACB73B" w:rsidR="49E4DF70" w:rsidRDefault="49E4DF70" w:rsidP="49E4DF70">
            <w:pPr>
              <w:rPr>
                <w:rFonts w:eastAsia="Arial" w:cs="Arial"/>
                <w:i/>
                <w:color w:val="242424"/>
                <w:sz w:val="22"/>
              </w:rPr>
            </w:pPr>
            <w:r w:rsidRPr="49E4DF70">
              <w:rPr>
                <w:rFonts w:eastAsia="Arial" w:cs="Arial"/>
                <w:i/>
                <w:color w:val="242424"/>
                <w:sz w:val="22"/>
              </w:rPr>
              <w:t>permission expected soon</w:t>
            </w:r>
          </w:p>
        </w:tc>
        <w:tc>
          <w:tcPr>
            <w:tcW w:w="3095" w:type="dxa"/>
            <w:tcBorders>
              <w:top w:val="single" w:sz="8" w:space="0" w:color="ABABAB"/>
              <w:left w:val="single" w:sz="8" w:space="0" w:color="ABABAB"/>
              <w:bottom w:val="single" w:sz="8" w:space="0" w:color="ABABAB"/>
              <w:right w:val="single" w:sz="8" w:space="0" w:color="ABABAB"/>
            </w:tcBorders>
            <w:tcMar>
              <w:top w:w="12" w:type="dxa"/>
              <w:left w:w="12" w:type="dxa"/>
              <w:bottom w:w="12" w:type="dxa"/>
              <w:right w:w="12" w:type="dxa"/>
            </w:tcMar>
            <w:vAlign w:val="center"/>
          </w:tcPr>
          <w:p w14:paraId="25357DA7" w14:textId="0F5BDF6B" w:rsidR="49E4DF70" w:rsidRDefault="49E4DF70" w:rsidP="49E4DF70">
            <w:pPr>
              <w:rPr>
                <w:rFonts w:eastAsia="Arial" w:cs="Arial"/>
                <w:i/>
                <w:color w:val="242424"/>
                <w:sz w:val="22"/>
              </w:rPr>
            </w:pPr>
            <w:r w:rsidRPr="49E4DF70">
              <w:rPr>
                <w:rFonts w:eastAsia="Arial" w:cs="Arial"/>
                <w:i/>
                <w:color w:val="242424"/>
                <w:sz w:val="22"/>
              </w:rPr>
              <w:t>30,000m2</w:t>
            </w:r>
          </w:p>
        </w:tc>
      </w:tr>
      <w:tr w:rsidR="49E4DF70" w14:paraId="109BBA18" w14:textId="77777777" w:rsidTr="49E4DF70">
        <w:trPr>
          <w:trHeight w:val="600"/>
        </w:trPr>
        <w:tc>
          <w:tcPr>
            <w:tcW w:w="3095" w:type="dxa"/>
            <w:tcBorders>
              <w:top w:val="single" w:sz="8" w:space="0" w:color="ABABAB"/>
              <w:left w:val="single" w:sz="8" w:space="0" w:color="ABABAB"/>
              <w:bottom w:val="single" w:sz="8" w:space="0" w:color="ABABAB"/>
              <w:right w:val="single" w:sz="8" w:space="0" w:color="ABABAB"/>
            </w:tcBorders>
            <w:tcMar>
              <w:top w:w="12" w:type="dxa"/>
              <w:left w:w="12" w:type="dxa"/>
              <w:bottom w:w="12" w:type="dxa"/>
              <w:right w:w="12" w:type="dxa"/>
            </w:tcMar>
            <w:vAlign w:val="center"/>
          </w:tcPr>
          <w:p w14:paraId="260E5927" w14:textId="0FB676FF" w:rsidR="49E4DF70" w:rsidRDefault="49E4DF70" w:rsidP="49E4DF70">
            <w:pPr>
              <w:rPr>
                <w:rFonts w:eastAsia="Arial" w:cs="Arial"/>
                <w:i/>
                <w:color w:val="242424"/>
                <w:sz w:val="22"/>
              </w:rPr>
            </w:pPr>
            <w:r w:rsidRPr="49E4DF70">
              <w:rPr>
                <w:rFonts w:eastAsia="Arial" w:cs="Arial"/>
                <w:i/>
                <w:color w:val="242424"/>
                <w:sz w:val="22"/>
              </w:rPr>
              <w:t>72 Upper Ground</w:t>
            </w:r>
          </w:p>
        </w:tc>
        <w:tc>
          <w:tcPr>
            <w:tcW w:w="3095" w:type="dxa"/>
            <w:tcBorders>
              <w:top w:val="single" w:sz="8" w:space="0" w:color="ABABAB"/>
              <w:left w:val="single" w:sz="8" w:space="0" w:color="ABABAB"/>
              <w:bottom w:val="single" w:sz="8" w:space="0" w:color="ABABAB"/>
              <w:right w:val="single" w:sz="8" w:space="0" w:color="ABABAB"/>
            </w:tcBorders>
            <w:tcMar>
              <w:top w:w="12" w:type="dxa"/>
              <w:left w:w="12" w:type="dxa"/>
              <w:bottom w:w="12" w:type="dxa"/>
              <w:right w:w="12" w:type="dxa"/>
            </w:tcMar>
            <w:vAlign w:val="center"/>
          </w:tcPr>
          <w:p w14:paraId="3A9BD8E1" w14:textId="4F9A1D5F" w:rsidR="49E4DF70" w:rsidRDefault="49E4DF70" w:rsidP="49E4DF70">
            <w:pPr>
              <w:rPr>
                <w:rFonts w:eastAsia="Arial" w:cs="Arial"/>
                <w:i/>
                <w:color w:val="242424"/>
                <w:sz w:val="22"/>
              </w:rPr>
            </w:pPr>
            <w:r w:rsidRPr="49E4DF70">
              <w:rPr>
                <w:rFonts w:eastAsia="Arial" w:cs="Arial"/>
                <w:i/>
                <w:color w:val="242424"/>
                <w:sz w:val="22"/>
              </w:rPr>
              <w:t>permitted but called in for Inquiry, awaiting decision</w:t>
            </w:r>
          </w:p>
        </w:tc>
        <w:tc>
          <w:tcPr>
            <w:tcW w:w="3095" w:type="dxa"/>
            <w:tcBorders>
              <w:top w:val="single" w:sz="8" w:space="0" w:color="ABABAB"/>
              <w:left w:val="single" w:sz="8" w:space="0" w:color="ABABAB"/>
              <w:bottom w:val="single" w:sz="8" w:space="0" w:color="ABABAB"/>
              <w:right w:val="single" w:sz="8" w:space="0" w:color="ABABAB"/>
            </w:tcBorders>
            <w:tcMar>
              <w:top w:w="12" w:type="dxa"/>
              <w:left w:w="12" w:type="dxa"/>
              <w:bottom w:w="12" w:type="dxa"/>
              <w:right w:w="12" w:type="dxa"/>
            </w:tcMar>
            <w:vAlign w:val="center"/>
          </w:tcPr>
          <w:p w14:paraId="0840FAFD" w14:textId="44903764" w:rsidR="49E4DF70" w:rsidRDefault="49E4DF70" w:rsidP="49E4DF70">
            <w:pPr>
              <w:rPr>
                <w:rFonts w:eastAsia="Arial" w:cs="Arial"/>
                <w:i/>
                <w:color w:val="242424"/>
                <w:sz w:val="22"/>
              </w:rPr>
            </w:pPr>
            <w:r w:rsidRPr="49E4DF70">
              <w:rPr>
                <w:rFonts w:eastAsia="Arial" w:cs="Arial"/>
                <w:i/>
                <w:color w:val="242424"/>
                <w:sz w:val="22"/>
              </w:rPr>
              <w:t>90,000m2</w:t>
            </w:r>
          </w:p>
        </w:tc>
      </w:tr>
      <w:tr w:rsidR="49E4DF70" w14:paraId="6DC81627" w14:textId="77777777" w:rsidTr="49E4DF70">
        <w:trPr>
          <w:trHeight w:val="345"/>
        </w:trPr>
        <w:tc>
          <w:tcPr>
            <w:tcW w:w="3095" w:type="dxa"/>
            <w:tcBorders>
              <w:top w:val="single" w:sz="8" w:space="0" w:color="ABABAB"/>
              <w:left w:val="single" w:sz="8" w:space="0" w:color="ABABAB"/>
              <w:bottom w:val="single" w:sz="8" w:space="0" w:color="ABABAB"/>
              <w:right w:val="single" w:sz="8" w:space="0" w:color="ABABAB"/>
            </w:tcBorders>
            <w:tcMar>
              <w:top w:w="12" w:type="dxa"/>
              <w:left w:w="12" w:type="dxa"/>
              <w:bottom w:w="12" w:type="dxa"/>
              <w:right w:w="12" w:type="dxa"/>
            </w:tcMar>
            <w:vAlign w:val="center"/>
          </w:tcPr>
          <w:p w14:paraId="1C6C05CA" w14:textId="5A597D5A" w:rsidR="49E4DF70" w:rsidRDefault="49E4DF70" w:rsidP="49E4DF70">
            <w:pPr>
              <w:rPr>
                <w:rFonts w:eastAsia="Arial" w:cs="Arial"/>
                <w:i/>
                <w:color w:val="242424"/>
                <w:sz w:val="22"/>
              </w:rPr>
            </w:pPr>
            <w:proofErr w:type="spellStart"/>
            <w:r w:rsidRPr="49E4DF70">
              <w:rPr>
                <w:rFonts w:eastAsia="Arial" w:cs="Arial"/>
                <w:i/>
                <w:color w:val="242424"/>
                <w:sz w:val="22"/>
              </w:rPr>
              <w:t>Hatfields</w:t>
            </w:r>
            <w:proofErr w:type="spellEnd"/>
            <w:r w:rsidRPr="49E4DF70">
              <w:rPr>
                <w:rFonts w:eastAsia="Arial" w:cs="Arial"/>
                <w:i/>
                <w:color w:val="242424"/>
                <w:sz w:val="22"/>
              </w:rPr>
              <w:t>/ Blackfriars</w:t>
            </w:r>
          </w:p>
        </w:tc>
        <w:tc>
          <w:tcPr>
            <w:tcW w:w="3095" w:type="dxa"/>
            <w:tcBorders>
              <w:top w:val="single" w:sz="8" w:space="0" w:color="ABABAB"/>
              <w:left w:val="single" w:sz="8" w:space="0" w:color="ABABAB"/>
              <w:bottom w:val="single" w:sz="8" w:space="0" w:color="ABABAB"/>
              <w:right w:val="single" w:sz="8" w:space="0" w:color="ABABAB"/>
            </w:tcBorders>
            <w:tcMar>
              <w:top w:w="12" w:type="dxa"/>
              <w:left w:w="12" w:type="dxa"/>
              <w:bottom w:w="12" w:type="dxa"/>
              <w:right w:w="12" w:type="dxa"/>
            </w:tcMar>
            <w:vAlign w:val="center"/>
          </w:tcPr>
          <w:p w14:paraId="3640E820" w14:textId="137BA9EC" w:rsidR="49E4DF70" w:rsidRDefault="49E4DF70" w:rsidP="49E4DF70">
            <w:pPr>
              <w:rPr>
                <w:rFonts w:eastAsia="Arial" w:cs="Arial"/>
                <w:i/>
                <w:color w:val="242424"/>
                <w:sz w:val="22"/>
              </w:rPr>
            </w:pPr>
            <w:r w:rsidRPr="49E4DF70">
              <w:rPr>
                <w:rFonts w:eastAsia="Arial" w:cs="Arial"/>
                <w:i/>
                <w:color w:val="242424"/>
                <w:sz w:val="22"/>
              </w:rPr>
              <w:t>application submitted</w:t>
            </w:r>
          </w:p>
        </w:tc>
        <w:tc>
          <w:tcPr>
            <w:tcW w:w="3095" w:type="dxa"/>
            <w:tcBorders>
              <w:top w:val="single" w:sz="8" w:space="0" w:color="ABABAB"/>
              <w:left w:val="single" w:sz="8" w:space="0" w:color="ABABAB"/>
              <w:bottom w:val="single" w:sz="8" w:space="0" w:color="ABABAB"/>
              <w:right w:val="single" w:sz="8" w:space="0" w:color="ABABAB"/>
            </w:tcBorders>
            <w:tcMar>
              <w:top w:w="12" w:type="dxa"/>
              <w:left w:w="12" w:type="dxa"/>
              <w:bottom w:w="12" w:type="dxa"/>
              <w:right w:w="12" w:type="dxa"/>
            </w:tcMar>
            <w:vAlign w:val="center"/>
          </w:tcPr>
          <w:p w14:paraId="43A53827" w14:textId="2DB33843" w:rsidR="49E4DF70" w:rsidRDefault="49E4DF70" w:rsidP="49E4DF70">
            <w:pPr>
              <w:rPr>
                <w:rFonts w:eastAsia="Arial" w:cs="Arial"/>
                <w:i/>
                <w:color w:val="242424"/>
                <w:sz w:val="22"/>
              </w:rPr>
            </w:pPr>
            <w:r w:rsidRPr="49E4DF70">
              <w:rPr>
                <w:rFonts w:eastAsia="Arial" w:cs="Arial"/>
                <w:i/>
                <w:color w:val="242424"/>
                <w:sz w:val="22"/>
              </w:rPr>
              <w:t>80,000m2</w:t>
            </w:r>
          </w:p>
        </w:tc>
      </w:tr>
    </w:tbl>
    <w:p w14:paraId="4D6113ED" w14:textId="32A05D7A" w:rsidR="00636FA5" w:rsidRDefault="60AD8FFE" w:rsidP="49E4DF70">
      <w:pPr>
        <w:rPr>
          <w:rFonts w:eastAsia="Arial" w:cs="Arial"/>
          <w:i/>
          <w:color w:val="000000" w:themeColor="text1"/>
          <w:sz w:val="22"/>
        </w:rPr>
      </w:pPr>
      <w:r w:rsidRPr="49E4DF70">
        <w:rPr>
          <w:rFonts w:eastAsia="Arial" w:cs="Arial"/>
          <w:i/>
          <w:color w:val="000000" w:themeColor="text1"/>
          <w:sz w:val="22"/>
        </w:rPr>
        <w:t xml:space="preserve"> </w:t>
      </w:r>
    </w:p>
    <w:p w14:paraId="50A3B03A" w14:textId="2D640707" w:rsidR="00636FA5" w:rsidRDefault="60AD8FFE" w:rsidP="49E4DF70">
      <w:pPr>
        <w:rPr>
          <w:rFonts w:eastAsia="Arial" w:cs="Arial"/>
          <w:i/>
          <w:color w:val="000000" w:themeColor="text1"/>
          <w:sz w:val="22"/>
        </w:rPr>
      </w:pPr>
      <w:r w:rsidRPr="49E4DF70">
        <w:rPr>
          <w:rFonts w:eastAsia="Arial" w:cs="Arial"/>
          <w:i/>
          <w:color w:val="000000" w:themeColor="text1"/>
          <w:sz w:val="22"/>
        </w:rPr>
        <w:t>These are massive schemes, totalling 419,000m2, the equivalent of 30,000 jobs (using the standard calculation of 14m2 per employee) - so this is double the target for the Opportunity Area to 2041! And this is without the 159,000m2 of offices proposed for Royal St, near St Thomas’ hospital, which the applicants estimate would provide around 9,000 jobs.</w:t>
      </w:r>
    </w:p>
    <w:p w14:paraId="080F75FC" w14:textId="3368921D" w:rsidR="00636FA5" w:rsidRDefault="60AD8FFE" w:rsidP="49E4DF70">
      <w:pPr>
        <w:rPr>
          <w:rFonts w:eastAsia="Arial" w:cs="Arial"/>
          <w:i/>
          <w:color w:val="000000" w:themeColor="text1"/>
          <w:sz w:val="22"/>
        </w:rPr>
      </w:pPr>
      <w:r w:rsidRPr="49E4DF70">
        <w:rPr>
          <w:rFonts w:eastAsia="Arial" w:cs="Arial"/>
          <w:i/>
          <w:color w:val="000000" w:themeColor="text1"/>
          <w:sz w:val="22"/>
        </w:rPr>
        <w:t xml:space="preserve"> </w:t>
      </w:r>
    </w:p>
    <w:p w14:paraId="7318D5D3" w14:textId="1974BEBB" w:rsidR="00636FA5" w:rsidRDefault="60AD8FFE" w:rsidP="49E4DF70">
      <w:pPr>
        <w:rPr>
          <w:rFonts w:eastAsia="Arial" w:cs="Arial"/>
          <w:i/>
          <w:color w:val="000000" w:themeColor="text1"/>
          <w:sz w:val="22"/>
        </w:rPr>
      </w:pPr>
      <w:r w:rsidRPr="49E4DF70">
        <w:rPr>
          <w:rFonts w:eastAsia="Arial" w:cs="Arial"/>
          <w:i/>
          <w:color w:val="000000" w:themeColor="text1"/>
          <w:sz w:val="22"/>
        </w:rPr>
        <w:t>There is in fact a danger of over-supply and schemes not being built out. The pandemic has significantly changed office use. This is leading to a re-alignment and probably contraction of office space requirements: only three months ago the news of HSBC moving out of Canary Wharf, for example.</w:t>
      </w:r>
    </w:p>
    <w:p w14:paraId="37BDFBB7" w14:textId="038D4BB7" w:rsidR="00636FA5" w:rsidRDefault="60AD8FFE" w:rsidP="49E4DF70">
      <w:pPr>
        <w:rPr>
          <w:rFonts w:eastAsia="Arial" w:cs="Arial"/>
          <w:i/>
          <w:color w:val="000000" w:themeColor="text1"/>
          <w:sz w:val="22"/>
        </w:rPr>
      </w:pPr>
      <w:r w:rsidRPr="49E4DF70">
        <w:rPr>
          <w:rFonts w:eastAsia="Arial" w:cs="Arial"/>
          <w:i/>
          <w:color w:val="000000" w:themeColor="text1"/>
          <w:sz w:val="22"/>
        </w:rPr>
        <w:t xml:space="preserve"> </w:t>
      </w:r>
    </w:p>
    <w:p w14:paraId="47B1EF0C" w14:textId="779FD944" w:rsidR="00636FA5" w:rsidRDefault="60AD8FFE" w:rsidP="49E4DF70">
      <w:pPr>
        <w:rPr>
          <w:rStyle w:val="Hyperlink"/>
          <w:rFonts w:eastAsia="Arial" w:cs="Arial"/>
          <w:i/>
          <w:color w:val="000000" w:themeColor="text1"/>
          <w:sz w:val="22"/>
        </w:rPr>
      </w:pPr>
      <w:r w:rsidRPr="49E4DF70">
        <w:rPr>
          <w:rFonts w:eastAsia="Arial" w:cs="Arial"/>
          <w:i/>
          <w:color w:val="000000" w:themeColor="text1"/>
          <w:sz w:val="22"/>
        </w:rPr>
        <w:t xml:space="preserve">In Waterloo, for example, permission was first granted for 100,000m2 of office to replace Elizabeth House (adjacent to Waterloo Station) in 1996, then 2013, then 2021, but nothing has never been built to replace the existing tatty 1950's office: the most recent scheme was about to begin demolition in 2020 when the pandemic struck, and the developers there have recently announced they were putting a halt for two years because of finance and downturn office market.  </w:t>
      </w:r>
      <w:hyperlink r:id="rId15">
        <w:r w:rsidRPr="49E4DF70">
          <w:rPr>
            <w:rStyle w:val="Hyperlink"/>
            <w:rFonts w:eastAsia="Arial" w:cs="Arial"/>
            <w:i/>
            <w:color w:val="000000" w:themeColor="text1"/>
            <w:sz w:val="22"/>
          </w:rPr>
          <w:t>One Waterloo | HB Reavis</w:t>
        </w:r>
      </w:hyperlink>
    </w:p>
    <w:p w14:paraId="06127C0D" w14:textId="77777777" w:rsidR="00493956" w:rsidRDefault="00493956" w:rsidP="49E4DF70">
      <w:pPr>
        <w:rPr>
          <w:rFonts w:eastAsia="Arial" w:cs="Arial"/>
          <w:sz w:val="22"/>
        </w:rPr>
      </w:pPr>
    </w:p>
    <w:p w14:paraId="05EBF020" w14:textId="77777777" w:rsidR="00636FA5" w:rsidRDefault="238785D2" w:rsidP="49E4DF70">
      <w:pPr>
        <w:spacing w:after="120"/>
        <w:rPr>
          <w:rFonts w:eastAsia="Arial" w:cs="Arial"/>
          <w:b/>
          <w:bCs/>
          <w:sz w:val="22"/>
        </w:rPr>
      </w:pPr>
      <w:r w:rsidRPr="49E4DF70">
        <w:rPr>
          <w:rFonts w:eastAsia="Arial" w:cs="Arial"/>
          <w:b/>
          <w:bCs/>
          <w:sz w:val="22"/>
        </w:rPr>
        <w:t xml:space="preserve">About us </w:t>
      </w:r>
    </w:p>
    <w:p w14:paraId="2DB9C5D8" w14:textId="1A7979CB" w:rsidR="00636FA5" w:rsidRDefault="238785D2" w:rsidP="49E4DF70">
      <w:pPr>
        <w:spacing w:after="120"/>
        <w:rPr>
          <w:rFonts w:eastAsia="Arial" w:cs="Arial"/>
          <w:sz w:val="22"/>
        </w:rPr>
      </w:pPr>
      <w:r w:rsidRPr="49E4DF70">
        <w:rPr>
          <w:rFonts w:eastAsia="Arial" w:cs="Arial"/>
          <w:sz w:val="22"/>
        </w:rPr>
        <w:t xml:space="preserve">Coin Street Community Builders (CSCB) is a social enterprise working in Waterloo and North Southwark. CSCB owns, manages, and maintains the riverside walkway between the National Theatre and Sea Containers, Bernie Spain Gardens, Oxo Tower Wharf, Gabriel’s Wharf, and the Coin Street neighbourhood centre. It is freehold owner of the Iroko, Mulberry, Palm and Redwood housing developments which are leased to primary co-operatives managed by their tenants. </w:t>
      </w:r>
      <w:hyperlink r:id="rId16">
        <w:r w:rsidRPr="49E4DF70">
          <w:rPr>
            <w:rStyle w:val="Hyperlink"/>
            <w:rFonts w:eastAsia="Arial" w:cs="Arial"/>
            <w:sz w:val="22"/>
          </w:rPr>
          <w:t>https://coinstreet.org/</w:t>
        </w:r>
      </w:hyperlink>
      <w:r w:rsidRPr="49E4DF70">
        <w:rPr>
          <w:rFonts w:eastAsia="Arial" w:cs="Arial"/>
          <w:sz w:val="22"/>
        </w:rPr>
        <w:t xml:space="preserve">     </w:t>
      </w:r>
    </w:p>
    <w:p w14:paraId="6ECF3854" w14:textId="425B096B" w:rsidR="00636FA5" w:rsidRDefault="00636FA5" w:rsidP="49E4DF70">
      <w:pPr>
        <w:spacing w:after="120"/>
        <w:rPr>
          <w:rFonts w:eastAsia="Arial" w:cs="Arial"/>
          <w:b/>
          <w:bCs/>
          <w:sz w:val="22"/>
        </w:rPr>
      </w:pPr>
      <w:r w:rsidRPr="49E4DF70">
        <w:rPr>
          <w:rFonts w:eastAsia="Arial" w:cs="Arial"/>
          <w:b/>
          <w:bCs/>
          <w:sz w:val="22"/>
        </w:rPr>
        <w:t xml:space="preserve">CSCB view </w:t>
      </w:r>
    </w:p>
    <w:p w14:paraId="21C07181" w14:textId="1A56A0CD" w:rsidR="00636FA5" w:rsidRPr="00674391" w:rsidRDefault="00636FA5" w:rsidP="49E4DF70">
      <w:pPr>
        <w:rPr>
          <w:rFonts w:eastAsia="Arial" w:cs="Arial"/>
          <w:sz w:val="22"/>
        </w:rPr>
      </w:pPr>
      <w:r w:rsidRPr="49E4DF70">
        <w:rPr>
          <w:rFonts w:eastAsia="Arial" w:cs="Arial"/>
          <w:sz w:val="22"/>
        </w:rPr>
        <w:t>The scale, bulk and siting of the proposed development is excessive, overbearing and overly dominant. The wanton disregard of the South Bank, one of London’s most popular amenities, is unacceptable and short-sighted</w:t>
      </w:r>
      <w:r w:rsidR="00B82966" w:rsidRPr="49E4DF70">
        <w:rPr>
          <w:rFonts w:eastAsia="Arial" w:cs="Arial"/>
          <w:sz w:val="22"/>
        </w:rPr>
        <w:t>.</w:t>
      </w:r>
      <w:r w:rsidRPr="49E4DF70">
        <w:rPr>
          <w:rFonts w:eastAsia="Arial" w:cs="Arial"/>
          <w:sz w:val="22"/>
        </w:rPr>
        <w:t xml:space="preserve"> At the public inquiry it became apparent that the existing tower with its high floor to ceiling heights and fabulous views could be repurposed for residential use and that is what should now happen.    </w:t>
      </w:r>
    </w:p>
    <w:p w14:paraId="02A7F82B" w14:textId="13202943" w:rsidR="00674391" w:rsidRDefault="00674391" w:rsidP="49E4DF70">
      <w:pPr>
        <w:rPr>
          <w:rFonts w:eastAsia="Arial" w:cs="Arial"/>
          <w:sz w:val="22"/>
        </w:rPr>
      </w:pPr>
    </w:p>
    <w:p w14:paraId="400A819D" w14:textId="216EEF2C" w:rsidR="00674391" w:rsidRDefault="4BA0E5C5" w:rsidP="49E4DF70">
      <w:pPr>
        <w:rPr>
          <w:rFonts w:eastAsia="Arial" w:cs="Arial"/>
          <w:iCs w:val="0"/>
          <w:color w:val="000000" w:themeColor="text1"/>
          <w:sz w:val="22"/>
        </w:rPr>
      </w:pPr>
      <w:r w:rsidRPr="49E4DF70">
        <w:rPr>
          <w:rFonts w:eastAsia="Arial" w:cs="Arial"/>
          <w:iCs w:val="0"/>
          <w:color w:val="000000" w:themeColor="text1"/>
          <w:sz w:val="22"/>
        </w:rPr>
        <w:t xml:space="preserve">Coin Street is not anti-office, we believe in mixed-use developments that meet local business and community needs.  72 Upper Ground is excessive in its scale, not high enough quality in its design, and adds to the over-provision of office space in this area when housing, especially affordable homes, are needed to ensure the area thrives for the long-term.  Our YouGov data </w:t>
      </w:r>
      <w:r w:rsidRPr="49E4DF70">
        <w:rPr>
          <w:rFonts w:eastAsia="Arial" w:cs="Arial"/>
          <w:iCs w:val="0"/>
          <w:color w:val="000000" w:themeColor="text1"/>
          <w:sz w:val="22"/>
        </w:rPr>
        <w:lastRenderedPageBreak/>
        <w:t>also demonstrates that the public want housing to be prioritised on brownfield land, not offices, restaurants, and shops.</w:t>
      </w:r>
    </w:p>
    <w:p w14:paraId="714F5E7A" w14:textId="11260A36" w:rsidR="00674391" w:rsidRDefault="00674391" w:rsidP="49E4DF70">
      <w:pPr>
        <w:rPr>
          <w:rFonts w:eastAsia="Arial" w:cs="Arial"/>
          <w:iCs w:val="0"/>
          <w:color w:val="000000" w:themeColor="text1"/>
          <w:sz w:val="22"/>
        </w:rPr>
      </w:pPr>
    </w:p>
    <w:p w14:paraId="211CC3AC" w14:textId="42E6EF02" w:rsidR="24CDDD63" w:rsidRDefault="24CDDD63" w:rsidP="49E4DF70">
      <w:pPr>
        <w:spacing w:after="120"/>
        <w:rPr>
          <w:rFonts w:eastAsia="Arial" w:cs="Arial"/>
          <w:sz w:val="22"/>
        </w:rPr>
      </w:pPr>
      <w:r w:rsidRPr="49E4DF70">
        <w:rPr>
          <w:rFonts w:eastAsia="Arial" w:cs="Arial"/>
          <w:b/>
          <w:bCs/>
          <w:sz w:val="22"/>
        </w:rPr>
        <w:t>For more information</w:t>
      </w:r>
      <w:r w:rsidRPr="49E4DF70">
        <w:rPr>
          <w:rFonts w:eastAsia="Arial" w:cs="Arial"/>
          <w:sz w:val="22"/>
        </w:rPr>
        <w:t> </w:t>
      </w:r>
    </w:p>
    <w:p w14:paraId="3B5AA7BC" w14:textId="6EBBF1A2" w:rsidR="24CDDD63" w:rsidRDefault="24CDDD63" w:rsidP="49E4DF70">
      <w:pPr>
        <w:rPr>
          <w:rFonts w:eastAsia="Arial" w:cs="Arial"/>
          <w:sz w:val="22"/>
        </w:rPr>
      </w:pPr>
      <w:r w:rsidRPr="49E4DF70">
        <w:rPr>
          <w:rFonts w:eastAsia="Arial" w:cs="Arial"/>
          <w:sz w:val="22"/>
        </w:rPr>
        <w:t xml:space="preserve">Keith Winestein (CSCB) </w:t>
      </w:r>
      <w:hyperlink r:id="rId17">
        <w:r w:rsidRPr="49E4DF70">
          <w:rPr>
            <w:rStyle w:val="Hyperlink"/>
            <w:rFonts w:eastAsia="Arial" w:cs="Arial"/>
            <w:sz w:val="22"/>
          </w:rPr>
          <w:t>k.winestein@coinstreet.org</w:t>
        </w:r>
      </w:hyperlink>
      <w:r w:rsidRPr="49E4DF70">
        <w:rPr>
          <w:rFonts w:eastAsia="Arial" w:cs="Arial"/>
          <w:sz w:val="22"/>
        </w:rPr>
        <w:t xml:space="preserve"> </w:t>
      </w:r>
      <w:r w:rsidR="45AAF8E5" w:rsidRPr="49E4DF70">
        <w:rPr>
          <w:rFonts w:eastAsia="Arial" w:cs="Arial"/>
          <w:sz w:val="22"/>
        </w:rPr>
        <w:t xml:space="preserve"> </w:t>
      </w:r>
      <w:r w:rsidRPr="49E4DF70">
        <w:rPr>
          <w:rFonts w:eastAsia="Arial" w:cs="Arial"/>
          <w:sz w:val="22"/>
        </w:rPr>
        <w:t>020 7021 1681 (direct/mobile)</w:t>
      </w:r>
    </w:p>
    <w:p w14:paraId="3172C232" w14:textId="660FF4D9" w:rsidR="32202325" w:rsidRDefault="32202325" w:rsidP="49E4DF70">
      <w:pPr>
        <w:rPr>
          <w:rStyle w:val="Emphasis"/>
          <w:rFonts w:eastAsia="Arial" w:cs="Arial"/>
          <w:i w:val="0"/>
          <w:sz w:val="22"/>
        </w:rPr>
      </w:pPr>
    </w:p>
    <w:sectPr w:rsidR="32202325" w:rsidSect="00A45BEE">
      <w:headerReference w:type="default" r:id="rId18"/>
      <w:footerReference w:type="default" r:id="rId19"/>
      <w:pgSz w:w="11906" w:h="16838"/>
      <w:pgMar w:top="1191" w:right="1304" w:bottom="119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62CC5" w14:textId="77777777" w:rsidR="004F4B98" w:rsidRDefault="004F4B98">
      <w:r>
        <w:separator/>
      </w:r>
    </w:p>
  </w:endnote>
  <w:endnote w:type="continuationSeparator" w:id="0">
    <w:p w14:paraId="4C0CD2A5" w14:textId="77777777" w:rsidR="004F4B98" w:rsidRDefault="004F4B98">
      <w:r>
        <w:continuationSeparator/>
      </w:r>
    </w:p>
  </w:endnote>
  <w:endnote w:type="continuationNotice" w:id="1">
    <w:p w14:paraId="6913F86D" w14:textId="77777777" w:rsidR="004F4B98" w:rsidRDefault="004F4B98"/>
  </w:endnote>
  <w:endnote w:id="2">
    <w:p w14:paraId="77B55220" w14:textId="1C1E1B5D" w:rsidR="32202325" w:rsidRPr="00C079E9" w:rsidRDefault="32202325" w:rsidP="00C079E9">
      <w:pPr>
        <w:pStyle w:val="EndnoteText"/>
        <w:rPr>
          <w:rFonts w:cs="Arial"/>
          <w:sz w:val="18"/>
          <w:szCs w:val="18"/>
        </w:rPr>
      </w:pPr>
      <w:r w:rsidRPr="00C079E9">
        <w:rPr>
          <w:rStyle w:val="EndnoteReference"/>
          <w:rFonts w:cs="Arial"/>
          <w:sz w:val="18"/>
          <w:szCs w:val="18"/>
        </w:rPr>
        <w:endnoteRef/>
      </w:r>
      <w:r w:rsidRPr="00C079E9">
        <w:rPr>
          <w:rFonts w:cs="Arial"/>
          <w:sz w:val="18"/>
          <w:szCs w:val="18"/>
        </w:rPr>
        <w:t xml:space="preserve"> The poll asked: Which of the following types of development, if any, do you think should be prioritised when building on brownfield sites? Please select the one you think should be prioritised the most. Conservative voters </w:t>
      </w:r>
      <w:r w:rsidR="00743629">
        <w:rPr>
          <w:rFonts w:cs="Arial"/>
          <w:sz w:val="18"/>
          <w:szCs w:val="18"/>
        </w:rPr>
        <w:t xml:space="preserve">in 2019 </w:t>
      </w:r>
      <w:r w:rsidRPr="00C079E9">
        <w:rPr>
          <w:rFonts w:cs="Arial"/>
          <w:sz w:val="18"/>
          <w:szCs w:val="18"/>
        </w:rPr>
        <w:t>responded as follows:</w:t>
      </w:r>
    </w:p>
    <w:p w14:paraId="3E6CC80D" w14:textId="325A65E6" w:rsidR="32202325" w:rsidRPr="00C079E9" w:rsidRDefault="32202325" w:rsidP="32202325">
      <w:pPr>
        <w:pStyle w:val="EndnoteText"/>
        <w:rPr>
          <w:rFonts w:cs="Arial"/>
          <w:sz w:val="18"/>
          <w:szCs w:val="18"/>
        </w:rPr>
      </w:pPr>
      <w:r w:rsidRPr="00C079E9">
        <w:rPr>
          <w:rFonts w:cs="Arial"/>
          <w:sz w:val="18"/>
          <w:szCs w:val="18"/>
        </w:rPr>
        <w:t>51% Housing</w:t>
      </w:r>
    </w:p>
    <w:p w14:paraId="30DB5C8E" w14:textId="71D80ED3" w:rsidR="32202325" w:rsidRPr="00C079E9" w:rsidRDefault="32202325" w:rsidP="32202325">
      <w:pPr>
        <w:pStyle w:val="EndnoteText"/>
        <w:rPr>
          <w:rFonts w:cs="Arial"/>
          <w:sz w:val="18"/>
          <w:szCs w:val="18"/>
        </w:rPr>
      </w:pPr>
      <w:r w:rsidRPr="00C079E9">
        <w:rPr>
          <w:rFonts w:cs="Arial"/>
          <w:sz w:val="18"/>
          <w:szCs w:val="18"/>
        </w:rPr>
        <w:t>24% Public service buildings</w:t>
      </w:r>
    </w:p>
    <w:p w14:paraId="1A32C241" w14:textId="5461AAFC" w:rsidR="32202325" w:rsidRPr="00C079E9" w:rsidRDefault="32202325" w:rsidP="32202325">
      <w:pPr>
        <w:pStyle w:val="EndnoteText"/>
        <w:rPr>
          <w:rFonts w:cs="Arial"/>
          <w:sz w:val="18"/>
          <w:szCs w:val="18"/>
        </w:rPr>
      </w:pPr>
      <w:r w:rsidRPr="00C079E9">
        <w:rPr>
          <w:rFonts w:cs="Arial"/>
          <w:sz w:val="18"/>
          <w:szCs w:val="18"/>
        </w:rPr>
        <w:t>8% Industrial buildings</w:t>
      </w:r>
    </w:p>
    <w:p w14:paraId="49D11FC8" w14:textId="628B2776" w:rsidR="32202325" w:rsidRPr="00C079E9" w:rsidRDefault="32202325" w:rsidP="32202325">
      <w:pPr>
        <w:pStyle w:val="EndnoteText"/>
        <w:rPr>
          <w:rFonts w:cs="Arial"/>
          <w:sz w:val="18"/>
          <w:szCs w:val="18"/>
        </w:rPr>
      </w:pPr>
      <w:r w:rsidRPr="00C079E9">
        <w:rPr>
          <w:rFonts w:cs="Arial"/>
          <w:sz w:val="18"/>
          <w:szCs w:val="18"/>
        </w:rPr>
        <w:t>4% Community facilities</w:t>
      </w:r>
    </w:p>
    <w:p w14:paraId="5FD3C402" w14:textId="0AE0E9D4" w:rsidR="32202325" w:rsidRPr="00C079E9" w:rsidRDefault="32202325" w:rsidP="32202325">
      <w:pPr>
        <w:pStyle w:val="EndnoteText"/>
        <w:rPr>
          <w:rFonts w:cs="Arial"/>
          <w:sz w:val="18"/>
          <w:szCs w:val="18"/>
        </w:rPr>
      </w:pPr>
      <w:r w:rsidRPr="00C079E9">
        <w:rPr>
          <w:rFonts w:cs="Arial"/>
          <w:sz w:val="18"/>
          <w:szCs w:val="18"/>
        </w:rPr>
        <w:t>1% Retail / Shops</w:t>
      </w:r>
    </w:p>
    <w:p w14:paraId="23A5C58C" w14:textId="0E10A6C4" w:rsidR="32202325" w:rsidRPr="00C079E9" w:rsidRDefault="32202325" w:rsidP="32202325">
      <w:pPr>
        <w:pStyle w:val="EndnoteText"/>
        <w:rPr>
          <w:rFonts w:cs="Arial"/>
          <w:sz w:val="18"/>
          <w:szCs w:val="18"/>
        </w:rPr>
      </w:pPr>
      <w:r w:rsidRPr="00C079E9">
        <w:rPr>
          <w:rFonts w:cs="Arial"/>
          <w:sz w:val="18"/>
          <w:szCs w:val="18"/>
        </w:rPr>
        <w:t>0% Offices</w:t>
      </w:r>
    </w:p>
    <w:p w14:paraId="651ACEF1" w14:textId="2C60393D" w:rsidR="32202325" w:rsidRPr="00C079E9" w:rsidRDefault="32202325" w:rsidP="32202325">
      <w:pPr>
        <w:pStyle w:val="EndnoteText"/>
        <w:rPr>
          <w:rFonts w:cs="Arial"/>
          <w:sz w:val="18"/>
          <w:szCs w:val="18"/>
        </w:rPr>
      </w:pPr>
      <w:r w:rsidRPr="00C079E9">
        <w:rPr>
          <w:rFonts w:cs="Arial"/>
          <w:sz w:val="18"/>
          <w:szCs w:val="18"/>
        </w:rPr>
        <w:t>0% Restaurants</w:t>
      </w:r>
    </w:p>
    <w:p w14:paraId="0124ED27" w14:textId="79BCF9C2" w:rsidR="32202325" w:rsidRPr="00C079E9" w:rsidRDefault="00743629" w:rsidP="32202325">
      <w:pPr>
        <w:pStyle w:val="EndnoteText"/>
        <w:rPr>
          <w:rFonts w:cs="Arial"/>
          <w:sz w:val="18"/>
          <w:szCs w:val="18"/>
        </w:rPr>
      </w:pPr>
      <w:r>
        <w:rPr>
          <w:rFonts w:cs="Arial"/>
          <w:sz w:val="18"/>
          <w:szCs w:val="18"/>
        </w:rPr>
        <w:t xml:space="preserve"> 1</w:t>
      </w:r>
      <w:r w:rsidR="32202325" w:rsidRPr="00C079E9">
        <w:rPr>
          <w:rFonts w:cs="Arial"/>
          <w:sz w:val="18"/>
          <w:szCs w:val="18"/>
        </w:rPr>
        <w:t>% Other</w:t>
      </w:r>
    </w:p>
    <w:p w14:paraId="420B56E9" w14:textId="61C66ECD" w:rsidR="00C079E9" w:rsidRPr="00C079E9" w:rsidRDefault="00743629" w:rsidP="00C079E9">
      <w:pPr>
        <w:pStyle w:val="EndnoteText"/>
        <w:spacing w:after="120"/>
        <w:rPr>
          <w:rFonts w:cs="Arial"/>
          <w:sz w:val="18"/>
          <w:szCs w:val="18"/>
        </w:rPr>
      </w:pPr>
      <w:r w:rsidRPr="00C079E9">
        <w:rPr>
          <w:rFonts w:cs="Arial"/>
          <w:sz w:val="18"/>
          <w:szCs w:val="18"/>
        </w:rPr>
        <w:t>1</w:t>
      </w:r>
      <w:r>
        <w:rPr>
          <w:rFonts w:cs="Arial"/>
          <w:sz w:val="18"/>
          <w:szCs w:val="18"/>
        </w:rPr>
        <w:t>1</w:t>
      </w:r>
      <w:r w:rsidR="32202325" w:rsidRPr="00C079E9">
        <w:rPr>
          <w:rFonts w:cs="Arial"/>
          <w:sz w:val="18"/>
          <w:szCs w:val="18"/>
        </w:rPr>
        <w:t xml:space="preserve">% Don’t </w:t>
      </w:r>
      <w:proofErr w:type="gramStart"/>
      <w:r w:rsidR="32202325" w:rsidRPr="00C079E9">
        <w:rPr>
          <w:rFonts w:cs="Arial"/>
          <w:sz w:val="18"/>
          <w:szCs w:val="18"/>
        </w:rPr>
        <w:t>know</w:t>
      </w:r>
      <w:proofErr w:type="gramEnd"/>
    </w:p>
  </w:endnote>
  <w:endnote w:id="3">
    <w:p w14:paraId="0E3405A0" w14:textId="07005613" w:rsidR="00C079E9" w:rsidRPr="00C079E9" w:rsidRDefault="008E7174" w:rsidP="00C079E9">
      <w:pPr>
        <w:pStyle w:val="EndnoteText"/>
        <w:spacing w:after="120"/>
        <w:rPr>
          <w:rFonts w:cs="Arial"/>
          <w:sz w:val="18"/>
          <w:szCs w:val="18"/>
        </w:rPr>
      </w:pPr>
      <w:r w:rsidRPr="00C079E9">
        <w:rPr>
          <w:rStyle w:val="EndnoteReference"/>
          <w:rFonts w:cs="Arial"/>
          <w:sz w:val="18"/>
          <w:szCs w:val="18"/>
        </w:rPr>
        <w:endnoteRef/>
      </w:r>
      <w:r w:rsidR="00920F6F" w:rsidRPr="00C079E9">
        <w:rPr>
          <w:rFonts w:cs="Arial"/>
          <w:sz w:val="18"/>
          <w:szCs w:val="18"/>
        </w:rPr>
        <w:t xml:space="preserve"> All figures, unless otherwise stated, are from YouGov Plc.  Total sample size was 2,020 adults. Fieldwork was undertaken between 26th - 28th August 2023.  The survey was carried out online. The figures have been weighted and are representative of all GB adults (aged 18+)</w:t>
      </w:r>
    </w:p>
  </w:endnote>
  <w:endnote w:id="4">
    <w:p w14:paraId="34291A8C" w14:textId="5B4155CB" w:rsidR="00C079E9" w:rsidRPr="00C079E9" w:rsidRDefault="00322D5A" w:rsidP="00C079E9">
      <w:pPr>
        <w:pStyle w:val="Heading5"/>
        <w:spacing w:before="0" w:after="120"/>
        <w:rPr>
          <w:rFonts w:eastAsia="Times New Roman" w:cs="Arial"/>
          <w:iCs w:val="0"/>
          <w:color w:val="1D3062"/>
          <w:sz w:val="18"/>
          <w:szCs w:val="18"/>
          <w:lang w:eastAsia="en-GB"/>
        </w:rPr>
      </w:pPr>
      <w:r w:rsidRPr="00C079E9">
        <w:rPr>
          <w:rStyle w:val="EndnoteReference"/>
          <w:rFonts w:cs="Arial"/>
          <w:sz w:val="18"/>
          <w:szCs w:val="18"/>
        </w:rPr>
        <w:endnoteRef/>
      </w:r>
      <w:r w:rsidRPr="00C079E9">
        <w:rPr>
          <w:rFonts w:cs="Arial"/>
          <w:sz w:val="18"/>
          <w:szCs w:val="18"/>
        </w:rPr>
        <w:t xml:space="preserve"> </w:t>
      </w:r>
      <w:hyperlink r:id="rId1" w:history="1">
        <w:r w:rsidRPr="00C079E9">
          <w:rPr>
            <w:rFonts w:eastAsia="Times New Roman" w:cs="Arial"/>
            <w:iCs w:val="0"/>
            <w:color w:val="0056B3"/>
            <w:sz w:val="18"/>
            <w:szCs w:val="18"/>
            <w:u w:val="single"/>
            <w:lang w:eastAsia="en-GB"/>
          </w:rPr>
          <w:t>https://www.crisis.org.uk/ending-homelessness/homelessness-knowledge-hub/housing-models-and-access/housing-supply-requirements-across-great-britain-2018/</w:t>
        </w:r>
      </w:hyperlink>
    </w:p>
  </w:endnote>
  <w:endnote w:id="5">
    <w:p w14:paraId="2D4D1F1E" w14:textId="638D466D" w:rsidR="00C079E9" w:rsidRPr="00C079E9" w:rsidRDefault="007D1514" w:rsidP="00C079E9">
      <w:pPr>
        <w:pStyle w:val="EndnoteText"/>
        <w:spacing w:after="120"/>
        <w:rPr>
          <w:rFonts w:cs="Arial"/>
          <w:sz w:val="18"/>
          <w:szCs w:val="18"/>
        </w:rPr>
      </w:pPr>
      <w:r w:rsidRPr="00C079E9">
        <w:rPr>
          <w:rStyle w:val="EndnoteReference"/>
          <w:rFonts w:cs="Arial"/>
          <w:sz w:val="18"/>
          <w:szCs w:val="18"/>
        </w:rPr>
        <w:endnoteRef/>
      </w:r>
      <w:r w:rsidRPr="00C079E9">
        <w:rPr>
          <w:rFonts w:cs="Arial"/>
          <w:sz w:val="18"/>
          <w:szCs w:val="18"/>
        </w:rPr>
        <w:t xml:space="preserve"> </w:t>
      </w:r>
      <w:hyperlink r:id="rId2" w:history="1">
        <w:r w:rsidR="00F117EA" w:rsidRPr="00C079E9">
          <w:rPr>
            <w:rStyle w:val="Hyperlink"/>
            <w:rFonts w:cs="Arial"/>
            <w:sz w:val="18"/>
            <w:szCs w:val="18"/>
          </w:rPr>
          <w:t>https://www.bloomberg.com/news/articles/2023-06-12/london-office-market-will-weaken-further-goldman-analysts-warn</w:t>
        </w:r>
      </w:hyperlink>
      <w:r w:rsidR="00F117EA" w:rsidRPr="00C079E9">
        <w:rPr>
          <w:rFonts w:cs="Arial"/>
          <w:sz w:val="18"/>
          <w:szCs w:val="18"/>
        </w:rPr>
        <w:t xml:space="preserve"> </w:t>
      </w:r>
    </w:p>
  </w:endnote>
  <w:endnote w:id="6">
    <w:p w14:paraId="5F7CDDA9" w14:textId="05B7AC61" w:rsidR="00F117EA" w:rsidRPr="00C079E9" w:rsidRDefault="00F117EA">
      <w:pPr>
        <w:pStyle w:val="EndnoteText"/>
        <w:rPr>
          <w:rFonts w:cs="Arial"/>
          <w:sz w:val="18"/>
          <w:szCs w:val="18"/>
        </w:rPr>
      </w:pPr>
      <w:r w:rsidRPr="00C079E9">
        <w:rPr>
          <w:rStyle w:val="EndnoteReference"/>
          <w:rFonts w:cs="Arial"/>
          <w:sz w:val="18"/>
          <w:szCs w:val="18"/>
        </w:rPr>
        <w:endnoteRef/>
      </w:r>
      <w:r w:rsidRPr="00C079E9">
        <w:rPr>
          <w:rFonts w:cs="Arial"/>
          <w:sz w:val="18"/>
          <w:szCs w:val="18"/>
        </w:rPr>
        <w:t xml:space="preserve"> The poll asked: </w:t>
      </w:r>
      <w:r w:rsidR="00AC2AC1" w:rsidRPr="00C079E9">
        <w:rPr>
          <w:rFonts w:cs="Arial"/>
          <w:sz w:val="18"/>
          <w:szCs w:val="18"/>
        </w:rPr>
        <w:t>When it comes to selecting land for new housing developments, do you think the government should prioritise building on greenfield, or brownfield sites, or both equally? Respondents answered as follows:</w:t>
      </w:r>
    </w:p>
    <w:p w14:paraId="6CA25992" w14:textId="0D12BF7D" w:rsidR="00AC2AC1" w:rsidRPr="00C079E9" w:rsidRDefault="00184EFF">
      <w:pPr>
        <w:pStyle w:val="EndnoteText"/>
        <w:rPr>
          <w:rFonts w:cs="Arial"/>
          <w:sz w:val="18"/>
          <w:szCs w:val="18"/>
        </w:rPr>
      </w:pPr>
      <w:r w:rsidRPr="00C079E9">
        <w:rPr>
          <w:rFonts w:cs="Arial"/>
          <w:sz w:val="18"/>
          <w:szCs w:val="18"/>
        </w:rPr>
        <w:t>75% Brownfield sites</w:t>
      </w:r>
    </w:p>
    <w:p w14:paraId="3B38A82E" w14:textId="5334B13B" w:rsidR="00184EFF" w:rsidRPr="00C079E9" w:rsidRDefault="00184EFF">
      <w:pPr>
        <w:pStyle w:val="EndnoteText"/>
        <w:rPr>
          <w:rFonts w:cs="Arial"/>
          <w:sz w:val="18"/>
          <w:szCs w:val="18"/>
        </w:rPr>
      </w:pPr>
      <w:r w:rsidRPr="00C079E9">
        <w:rPr>
          <w:rFonts w:cs="Arial"/>
          <w:sz w:val="18"/>
          <w:szCs w:val="18"/>
        </w:rPr>
        <w:t>1% Greenfield sites</w:t>
      </w:r>
    </w:p>
    <w:p w14:paraId="3A609211" w14:textId="219C65B2" w:rsidR="0072428F" w:rsidRPr="00C079E9" w:rsidRDefault="0072428F">
      <w:pPr>
        <w:pStyle w:val="EndnoteText"/>
        <w:rPr>
          <w:rFonts w:cs="Arial"/>
          <w:sz w:val="18"/>
          <w:szCs w:val="18"/>
        </w:rPr>
      </w:pPr>
      <w:r w:rsidRPr="00C079E9">
        <w:rPr>
          <w:rFonts w:cs="Arial"/>
          <w:sz w:val="18"/>
          <w:szCs w:val="18"/>
        </w:rPr>
        <w:t>14% Both equally</w:t>
      </w:r>
    </w:p>
    <w:p w14:paraId="21F161A2" w14:textId="489AA31C" w:rsidR="00C079E9" w:rsidRPr="00C079E9" w:rsidRDefault="0072428F" w:rsidP="00C079E9">
      <w:pPr>
        <w:pStyle w:val="EndnoteText"/>
        <w:spacing w:after="120"/>
        <w:rPr>
          <w:rFonts w:cs="Arial"/>
          <w:sz w:val="18"/>
          <w:szCs w:val="18"/>
        </w:rPr>
      </w:pPr>
      <w:r w:rsidRPr="00C079E9">
        <w:rPr>
          <w:rFonts w:cs="Arial"/>
          <w:sz w:val="18"/>
          <w:szCs w:val="18"/>
        </w:rPr>
        <w:t xml:space="preserve">10% Don’t </w:t>
      </w:r>
      <w:proofErr w:type="gramStart"/>
      <w:r w:rsidRPr="00C079E9">
        <w:rPr>
          <w:rFonts w:cs="Arial"/>
          <w:sz w:val="18"/>
          <w:szCs w:val="18"/>
        </w:rPr>
        <w:t>know</w:t>
      </w:r>
      <w:proofErr w:type="gramEnd"/>
    </w:p>
  </w:endnote>
  <w:endnote w:id="7">
    <w:p w14:paraId="423B90A3" w14:textId="77777777" w:rsidR="005455F2" w:rsidRPr="00C079E9" w:rsidRDefault="005455F2" w:rsidP="005455F2">
      <w:pPr>
        <w:pStyle w:val="EndnoteText"/>
        <w:spacing w:after="120"/>
        <w:rPr>
          <w:rFonts w:cs="Arial"/>
          <w:sz w:val="18"/>
          <w:szCs w:val="18"/>
        </w:rPr>
      </w:pPr>
      <w:r w:rsidRPr="00C079E9">
        <w:rPr>
          <w:rStyle w:val="EndnoteReference"/>
          <w:rFonts w:cs="Arial"/>
          <w:sz w:val="18"/>
          <w:szCs w:val="18"/>
        </w:rPr>
        <w:endnoteRef/>
      </w:r>
      <w:r w:rsidRPr="00C079E9">
        <w:rPr>
          <w:rFonts w:cs="Arial"/>
          <w:sz w:val="18"/>
          <w:szCs w:val="18"/>
        </w:rPr>
        <w:t xml:space="preserve"> </w:t>
      </w:r>
      <w:hyperlink r:id="rId3" w:history="1">
        <w:r w:rsidRPr="00C079E9">
          <w:rPr>
            <w:rStyle w:val="Hyperlink"/>
            <w:rFonts w:cs="Arial"/>
            <w:sz w:val="18"/>
            <w:szCs w:val="18"/>
          </w:rPr>
          <w:t>https://www.thetimes.co.uk/article/72-upper-ground-this-monstrosity-must-not-be-allowed-to-sully-the-south-bank-zfmk5ls7x</w:t>
        </w:r>
      </w:hyperlink>
      <w:r w:rsidRPr="00C079E9">
        <w:rPr>
          <w:rFonts w:cs="Arial"/>
          <w:sz w:val="18"/>
          <w:szCs w:val="18"/>
        </w:rPr>
        <w:t xml:space="preserve"> </w:t>
      </w:r>
    </w:p>
  </w:endnote>
  <w:endnote w:id="8">
    <w:p w14:paraId="02289CAD" w14:textId="77777777" w:rsidR="005455F2" w:rsidRPr="00C079E9" w:rsidRDefault="005455F2" w:rsidP="005455F2">
      <w:pPr>
        <w:pStyle w:val="EndnoteText"/>
        <w:rPr>
          <w:rFonts w:cs="Arial"/>
          <w:sz w:val="18"/>
          <w:szCs w:val="18"/>
        </w:rPr>
      </w:pPr>
      <w:r w:rsidRPr="00C079E9">
        <w:rPr>
          <w:rStyle w:val="EndnoteReference"/>
          <w:rFonts w:cs="Arial"/>
          <w:sz w:val="18"/>
          <w:szCs w:val="18"/>
        </w:rPr>
        <w:endnoteRef/>
      </w:r>
      <w:r w:rsidRPr="00C079E9">
        <w:rPr>
          <w:rFonts w:cs="Arial"/>
          <w:sz w:val="18"/>
          <w:szCs w:val="18"/>
        </w:rPr>
        <w:t xml:space="preserve"> </w:t>
      </w:r>
      <w:hyperlink r:id="rId4" w:history="1">
        <w:r w:rsidRPr="00C079E9">
          <w:rPr>
            <w:rStyle w:val="Hyperlink"/>
            <w:rFonts w:cs="Arial"/>
            <w:sz w:val="18"/>
            <w:szCs w:val="18"/>
          </w:rPr>
          <w:t>https://www.theguardian.com/commentisfree/2022/may/06/london-planning-river-developments-thames-south-bank-block</w:t>
        </w:r>
      </w:hyperlink>
      <w:r w:rsidRPr="00C079E9">
        <w:rPr>
          <w:rFonts w:cs="Arial"/>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147823"/>
      <w:docPartObj>
        <w:docPartGallery w:val="Page Numbers (Bottom of Page)"/>
        <w:docPartUnique/>
      </w:docPartObj>
    </w:sdtPr>
    <w:sdtEndPr>
      <w:rPr>
        <w:noProof/>
      </w:rPr>
    </w:sdtEndPr>
    <w:sdtContent>
      <w:p w14:paraId="3FCB11B2" w14:textId="06C1F486" w:rsidR="00AF3F29" w:rsidRDefault="00AF3F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491813" w14:textId="77777777" w:rsidR="00AF3F29" w:rsidRDefault="00AF3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EC338" w14:textId="77777777" w:rsidR="004F4B98" w:rsidRDefault="004F4B98">
      <w:r>
        <w:separator/>
      </w:r>
    </w:p>
  </w:footnote>
  <w:footnote w:type="continuationSeparator" w:id="0">
    <w:p w14:paraId="3A047CB6" w14:textId="77777777" w:rsidR="004F4B98" w:rsidRDefault="004F4B98">
      <w:r>
        <w:continuationSeparator/>
      </w:r>
    </w:p>
  </w:footnote>
  <w:footnote w:type="continuationNotice" w:id="1">
    <w:p w14:paraId="4F2DDF24" w14:textId="77777777" w:rsidR="004F4B98" w:rsidRDefault="004F4B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E0D8" w14:textId="5F919393" w:rsidR="00A45BEE" w:rsidRDefault="00A45BEE">
    <w:pPr>
      <w:pStyle w:val="Header"/>
    </w:pPr>
  </w:p>
  <w:p w14:paraId="442FE5F0" w14:textId="77777777" w:rsidR="00A45BEE" w:rsidRDefault="00A45BEE">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4750E"/>
    <w:multiLevelType w:val="multilevel"/>
    <w:tmpl w:val="C55E20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81774E"/>
    <w:multiLevelType w:val="hybridMultilevel"/>
    <w:tmpl w:val="227C3EDE"/>
    <w:lvl w:ilvl="0" w:tplc="54D4CB6E">
      <w:start w:val="1"/>
      <w:numFmt w:val="bullet"/>
      <w:lvlText w:val=""/>
      <w:lvlJc w:val="left"/>
      <w:pPr>
        <w:ind w:left="720" w:hanging="360"/>
      </w:pPr>
      <w:rPr>
        <w:rFonts w:ascii="Symbol" w:hAnsi="Symbol" w:hint="default"/>
      </w:rPr>
    </w:lvl>
    <w:lvl w:ilvl="1" w:tplc="EC88B83C">
      <w:start w:val="1"/>
      <w:numFmt w:val="bullet"/>
      <w:lvlText w:val="o"/>
      <w:lvlJc w:val="left"/>
      <w:pPr>
        <w:ind w:left="1440" w:hanging="360"/>
      </w:pPr>
      <w:rPr>
        <w:rFonts w:ascii="Courier New" w:hAnsi="Courier New" w:hint="default"/>
      </w:rPr>
    </w:lvl>
    <w:lvl w:ilvl="2" w:tplc="72D83B26">
      <w:start w:val="1"/>
      <w:numFmt w:val="bullet"/>
      <w:lvlText w:val=""/>
      <w:lvlJc w:val="left"/>
      <w:pPr>
        <w:ind w:left="2160" w:hanging="360"/>
      </w:pPr>
      <w:rPr>
        <w:rFonts w:ascii="Wingdings" w:hAnsi="Wingdings" w:hint="default"/>
      </w:rPr>
    </w:lvl>
    <w:lvl w:ilvl="3" w:tplc="A8346C0E">
      <w:start w:val="1"/>
      <w:numFmt w:val="bullet"/>
      <w:lvlText w:val=""/>
      <w:lvlJc w:val="left"/>
      <w:pPr>
        <w:ind w:left="2880" w:hanging="360"/>
      </w:pPr>
      <w:rPr>
        <w:rFonts w:ascii="Symbol" w:hAnsi="Symbol" w:hint="default"/>
      </w:rPr>
    </w:lvl>
    <w:lvl w:ilvl="4" w:tplc="BF20D3DE">
      <w:start w:val="1"/>
      <w:numFmt w:val="bullet"/>
      <w:lvlText w:val="o"/>
      <w:lvlJc w:val="left"/>
      <w:pPr>
        <w:ind w:left="3600" w:hanging="360"/>
      </w:pPr>
      <w:rPr>
        <w:rFonts w:ascii="Courier New" w:hAnsi="Courier New" w:hint="default"/>
      </w:rPr>
    </w:lvl>
    <w:lvl w:ilvl="5" w:tplc="90A824F2">
      <w:start w:val="1"/>
      <w:numFmt w:val="bullet"/>
      <w:lvlText w:val=""/>
      <w:lvlJc w:val="left"/>
      <w:pPr>
        <w:ind w:left="4320" w:hanging="360"/>
      </w:pPr>
      <w:rPr>
        <w:rFonts w:ascii="Wingdings" w:hAnsi="Wingdings" w:hint="default"/>
      </w:rPr>
    </w:lvl>
    <w:lvl w:ilvl="6" w:tplc="A6CC59C4">
      <w:start w:val="1"/>
      <w:numFmt w:val="bullet"/>
      <w:lvlText w:val=""/>
      <w:lvlJc w:val="left"/>
      <w:pPr>
        <w:ind w:left="5040" w:hanging="360"/>
      </w:pPr>
      <w:rPr>
        <w:rFonts w:ascii="Symbol" w:hAnsi="Symbol" w:hint="default"/>
      </w:rPr>
    </w:lvl>
    <w:lvl w:ilvl="7" w:tplc="0F966DD4">
      <w:start w:val="1"/>
      <w:numFmt w:val="bullet"/>
      <w:lvlText w:val="o"/>
      <w:lvlJc w:val="left"/>
      <w:pPr>
        <w:ind w:left="5760" w:hanging="360"/>
      </w:pPr>
      <w:rPr>
        <w:rFonts w:ascii="Courier New" w:hAnsi="Courier New" w:hint="default"/>
      </w:rPr>
    </w:lvl>
    <w:lvl w:ilvl="8" w:tplc="B9F446DC">
      <w:start w:val="1"/>
      <w:numFmt w:val="bullet"/>
      <w:lvlText w:val=""/>
      <w:lvlJc w:val="left"/>
      <w:pPr>
        <w:ind w:left="6480" w:hanging="360"/>
      </w:pPr>
      <w:rPr>
        <w:rFonts w:ascii="Wingdings" w:hAnsi="Wingdings" w:hint="default"/>
      </w:rPr>
    </w:lvl>
  </w:abstractNum>
  <w:abstractNum w:abstractNumId="2" w15:restartNumberingAfterBreak="0">
    <w:nsid w:val="687400F4"/>
    <w:multiLevelType w:val="hybridMultilevel"/>
    <w:tmpl w:val="089EF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31176604">
    <w:abstractNumId w:val="1"/>
  </w:num>
  <w:num w:numId="2" w16cid:durableId="2128968087">
    <w:abstractNumId w:val="2"/>
  </w:num>
  <w:num w:numId="3" w16cid:durableId="1554927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BC"/>
    <w:rsid w:val="00008F37"/>
    <w:rsid w:val="0008419D"/>
    <w:rsid w:val="00096E49"/>
    <w:rsid w:val="000B66F6"/>
    <w:rsid w:val="00103689"/>
    <w:rsid w:val="00184EFF"/>
    <w:rsid w:val="002E30A8"/>
    <w:rsid w:val="002E5E91"/>
    <w:rsid w:val="003027D1"/>
    <w:rsid w:val="00322D5A"/>
    <w:rsid w:val="0033063C"/>
    <w:rsid w:val="003541E8"/>
    <w:rsid w:val="003C583A"/>
    <w:rsid w:val="00421624"/>
    <w:rsid w:val="004625C0"/>
    <w:rsid w:val="00473361"/>
    <w:rsid w:val="00475827"/>
    <w:rsid w:val="00493956"/>
    <w:rsid w:val="004A4605"/>
    <w:rsid w:val="004C1AF6"/>
    <w:rsid w:val="004F4B98"/>
    <w:rsid w:val="00513FF3"/>
    <w:rsid w:val="00526F5D"/>
    <w:rsid w:val="005455F2"/>
    <w:rsid w:val="00551C4A"/>
    <w:rsid w:val="00592287"/>
    <w:rsid w:val="005A29F5"/>
    <w:rsid w:val="005A6163"/>
    <w:rsid w:val="005E7818"/>
    <w:rsid w:val="00636FA5"/>
    <w:rsid w:val="006521ED"/>
    <w:rsid w:val="00674391"/>
    <w:rsid w:val="006B1AFC"/>
    <w:rsid w:val="0072428F"/>
    <w:rsid w:val="00743629"/>
    <w:rsid w:val="0079134A"/>
    <w:rsid w:val="007B21EC"/>
    <w:rsid w:val="007D1514"/>
    <w:rsid w:val="008A507C"/>
    <w:rsid w:val="008E7174"/>
    <w:rsid w:val="008F1F50"/>
    <w:rsid w:val="00920F6F"/>
    <w:rsid w:val="009546C7"/>
    <w:rsid w:val="009B6D69"/>
    <w:rsid w:val="009E09EB"/>
    <w:rsid w:val="00A23399"/>
    <w:rsid w:val="00A34C46"/>
    <w:rsid w:val="00A45BEE"/>
    <w:rsid w:val="00AC2AC1"/>
    <w:rsid w:val="00AF3F29"/>
    <w:rsid w:val="00B336BC"/>
    <w:rsid w:val="00B448F6"/>
    <w:rsid w:val="00B604AE"/>
    <w:rsid w:val="00B6469C"/>
    <w:rsid w:val="00B7799B"/>
    <w:rsid w:val="00B82966"/>
    <w:rsid w:val="00BD0B3E"/>
    <w:rsid w:val="00BE3EC2"/>
    <w:rsid w:val="00C079E9"/>
    <w:rsid w:val="00C74613"/>
    <w:rsid w:val="00C7602C"/>
    <w:rsid w:val="00CF066D"/>
    <w:rsid w:val="00D1747F"/>
    <w:rsid w:val="00D32336"/>
    <w:rsid w:val="00D358F2"/>
    <w:rsid w:val="00D933AE"/>
    <w:rsid w:val="00DA0353"/>
    <w:rsid w:val="00DF668A"/>
    <w:rsid w:val="00E425A6"/>
    <w:rsid w:val="00E52DFE"/>
    <w:rsid w:val="00EB49FC"/>
    <w:rsid w:val="00EE4C2D"/>
    <w:rsid w:val="00F117EA"/>
    <w:rsid w:val="00F217B8"/>
    <w:rsid w:val="00F21FE4"/>
    <w:rsid w:val="00F72E65"/>
    <w:rsid w:val="00F81328"/>
    <w:rsid w:val="00F83EA6"/>
    <w:rsid w:val="00F96325"/>
    <w:rsid w:val="01D0E5B6"/>
    <w:rsid w:val="02D9F86B"/>
    <w:rsid w:val="035BFF15"/>
    <w:rsid w:val="04020237"/>
    <w:rsid w:val="044A204B"/>
    <w:rsid w:val="07082566"/>
    <w:rsid w:val="079F66CB"/>
    <w:rsid w:val="099CE156"/>
    <w:rsid w:val="09FA9485"/>
    <w:rsid w:val="0D9EEDF4"/>
    <w:rsid w:val="0F32320D"/>
    <w:rsid w:val="102159C0"/>
    <w:rsid w:val="1358FA82"/>
    <w:rsid w:val="15ACC4B3"/>
    <w:rsid w:val="15BFC787"/>
    <w:rsid w:val="177A7CB8"/>
    <w:rsid w:val="1A6C941C"/>
    <w:rsid w:val="1CF29368"/>
    <w:rsid w:val="1E00FB6C"/>
    <w:rsid w:val="2090F367"/>
    <w:rsid w:val="20D4A5B0"/>
    <w:rsid w:val="21F15AF3"/>
    <w:rsid w:val="238785D2"/>
    <w:rsid w:val="24CDDD63"/>
    <w:rsid w:val="24DC19B0"/>
    <w:rsid w:val="24DD3933"/>
    <w:rsid w:val="26790994"/>
    <w:rsid w:val="2814D9F5"/>
    <w:rsid w:val="2862AE70"/>
    <w:rsid w:val="29B0AA56"/>
    <w:rsid w:val="2BA5D5C7"/>
    <w:rsid w:val="2D24595D"/>
    <w:rsid w:val="2D61B617"/>
    <w:rsid w:val="2D9A005B"/>
    <w:rsid w:val="30B3C111"/>
    <w:rsid w:val="3191D6AC"/>
    <w:rsid w:val="32202325"/>
    <w:rsid w:val="3452934C"/>
    <w:rsid w:val="384951B5"/>
    <w:rsid w:val="391EC0B2"/>
    <w:rsid w:val="3EDF4ADB"/>
    <w:rsid w:val="406276A9"/>
    <w:rsid w:val="417EDD9C"/>
    <w:rsid w:val="41D9CD8B"/>
    <w:rsid w:val="435E2FDE"/>
    <w:rsid w:val="449DDA2C"/>
    <w:rsid w:val="45340F13"/>
    <w:rsid w:val="45AAF8E5"/>
    <w:rsid w:val="46BAE384"/>
    <w:rsid w:val="49AB4910"/>
    <w:rsid w:val="49ACBC51"/>
    <w:rsid w:val="49E4DF70"/>
    <w:rsid w:val="4BA0E5C5"/>
    <w:rsid w:val="4CC6A45C"/>
    <w:rsid w:val="521411A5"/>
    <w:rsid w:val="53D2DBFB"/>
    <w:rsid w:val="552CBDB0"/>
    <w:rsid w:val="55347F46"/>
    <w:rsid w:val="56B3E1F0"/>
    <w:rsid w:val="57F675E7"/>
    <w:rsid w:val="58104B1A"/>
    <w:rsid w:val="5889D27B"/>
    <w:rsid w:val="5AFF7424"/>
    <w:rsid w:val="5C4C773F"/>
    <w:rsid w:val="5C716E31"/>
    <w:rsid w:val="5E0D3E92"/>
    <w:rsid w:val="5E40D746"/>
    <w:rsid w:val="60AD8FFE"/>
    <w:rsid w:val="6623A199"/>
    <w:rsid w:val="6895FF2B"/>
    <w:rsid w:val="6A6D8A80"/>
    <w:rsid w:val="6BCD9FED"/>
    <w:rsid w:val="700D4FD1"/>
    <w:rsid w:val="70E7A1CE"/>
    <w:rsid w:val="73777EEB"/>
    <w:rsid w:val="794902BE"/>
    <w:rsid w:val="7D96A451"/>
    <w:rsid w:val="7E076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23EBD"/>
  <w15:chartTrackingRefBased/>
  <w15:docId w15:val="{9CDC48D4-4D18-4A2D-9FED-890580E2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iCs/>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2D"/>
    <w:pPr>
      <w:spacing w:after="0" w:line="240" w:lineRule="auto"/>
    </w:pPr>
  </w:style>
  <w:style w:type="paragraph" w:styleId="Heading1">
    <w:name w:val="heading 1"/>
    <w:basedOn w:val="Normal"/>
    <w:next w:val="Normal"/>
    <w:link w:val="Heading1Char"/>
    <w:uiPriority w:val="9"/>
    <w:qFormat/>
    <w:rsid w:val="00D358F2"/>
    <w:pPr>
      <w:keepNext/>
      <w:keepLines/>
      <w:spacing w:before="24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358F2"/>
    <w:pPr>
      <w:keepNext/>
      <w:keepLines/>
      <w:spacing w:before="4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358F2"/>
    <w:pPr>
      <w:keepNext/>
      <w:keepLines/>
      <w:spacing w:before="40"/>
      <w:outlineLvl w:val="2"/>
    </w:pPr>
    <w:rPr>
      <w:rFonts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933AE"/>
    <w:pPr>
      <w:keepNext/>
      <w:keepLines/>
      <w:spacing w:before="40"/>
      <w:outlineLvl w:val="3"/>
    </w:pPr>
    <w:rPr>
      <w:rFonts w:eastAsiaTheme="majorEastAsia" w:cstheme="majorBidi"/>
      <w:i/>
      <w:iCs w:val="0"/>
      <w:color w:val="2E74B5" w:themeColor="accent1" w:themeShade="BF"/>
    </w:rPr>
  </w:style>
  <w:style w:type="paragraph" w:styleId="Heading5">
    <w:name w:val="heading 5"/>
    <w:basedOn w:val="Normal"/>
    <w:next w:val="Normal"/>
    <w:link w:val="Heading5Char"/>
    <w:uiPriority w:val="9"/>
    <w:unhideWhenUsed/>
    <w:qFormat/>
    <w:rsid w:val="00D933AE"/>
    <w:pPr>
      <w:keepNext/>
      <w:keepLines/>
      <w:spacing w:before="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D933AE"/>
    <w:pPr>
      <w:keepNext/>
      <w:keepLines/>
      <w:spacing w:before="40"/>
      <w:outlineLvl w:val="5"/>
    </w:pPr>
    <w:rPr>
      <w:rFonts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D933AE"/>
    <w:pPr>
      <w:keepNext/>
      <w:keepLines/>
      <w:spacing w:before="40"/>
      <w:outlineLvl w:val="6"/>
    </w:pPr>
    <w:rPr>
      <w:rFonts w:eastAsiaTheme="majorEastAsia" w:cstheme="majorBidi"/>
      <w:i/>
      <w:iCs w:val="0"/>
      <w:color w:val="1F4D78" w:themeColor="accent1" w:themeShade="7F"/>
    </w:rPr>
  </w:style>
  <w:style w:type="paragraph" w:styleId="Heading8">
    <w:name w:val="heading 8"/>
    <w:basedOn w:val="Normal"/>
    <w:next w:val="Normal"/>
    <w:link w:val="Heading8Char"/>
    <w:uiPriority w:val="9"/>
    <w:unhideWhenUsed/>
    <w:qFormat/>
    <w:rsid w:val="00D933AE"/>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933AE"/>
    <w:pPr>
      <w:keepNext/>
      <w:keepLines/>
      <w:spacing w:before="40"/>
      <w:outlineLvl w:val="8"/>
    </w:pPr>
    <w:rPr>
      <w:rFonts w:eastAsiaTheme="majorEastAsia" w:cstheme="majorBidi"/>
      <w:i/>
      <w:iCs w:val="0"/>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58F2"/>
    <w:pPr>
      <w:spacing w:after="0" w:line="240" w:lineRule="auto"/>
    </w:pPr>
  </w:style>
  <w:style w:type="character" w:customStyle="1" w:styleId="Heading1Char">
    <w:name w:val="Heading 1 Char"/>
    <w:basedOn w:val="DefaultParagraphFont"/>
    <w:link w:val="Heading1"/>
    <w:uiPriority w:val="9"/>
    <w:rsid w:val="00D358F2"/>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rsid w:val="00D358F2"/>
    <w:rPr>
      <w:rFonts w:ascii="Arial" w:eastAsiaTheme="majorEastAsia" w:hAnsi="Arial" w:cstheme="majorBidi"/>
      <w:color w:val="2E74B5" w:themeColor="accent1" w:themeShade="BF"/>
      <w:sz w:val="26"/>
      <w:szCs w:val="26"/>
    </w:rPr>
  </w:style>
  <w:style w:type="character" w:customStyle="1" w:styleId="Heading3Char">
    <w:name w:val="Heading 3 Char"/>
    <w:basedOn w:val="DefaultParagraphFont"/>
    <w:link w:val="Heading3"/>
    <w:uiPriority w:val="9"/>
    <w:rsid w:val="00D358F2"/>
    <w:rPr>
      <w:rFonts w:ascii="Arial" w:eastAsiaTheme="majorEastAsia" w:hAnsi="Arial" w:cstheme="majorBidi"/>
      <w:color w:val="1F4D78" w:themeColor="accent1" w:themeShade="7F"/>
      <w:sz w:val="24"/>
      <w:szCs w:val="24"/>
    </w:rPr>
  </w:style>
  <w:style w:type="character" w:customStyle="1" w:styleId="Heading4Char">
    <w:name w:val="Heading 4 Char"/>
    <w:basedOn w:val="DefaultParagraphFont"/>
    <w:link w:val="Heading4"/>
    <w:uiPriority w:val="9"/>
    <w:rsid w:val="00D933AE"/>
    <w:rPr>
      <w:rFonts w:ascii="Arial" w:eastAsiaTheme="majorEastAsia" w:hAnsi="Arial" w:cstheme="majorBidi"/>
      <w:i/>
      <w:iCs w:val="0"/>
      <w:color w:val="2E74B5" w:themeColor="accent1" w:themeShade="BF"/>
      <w:sz w:val="20"/>
    </w:rPr>
  </w:style>
  <w:style w:type="character" w:customStyle="1" w:styleId="Heading5Char">
    <w:name w:val="Heading 5 Char"/>
    <w:basedOn w:val="DefaultParagraphFont"/>
    <w:link w:val="Heading5"/>
    <w:uiPriority w:val="9"/>
    <w:rsid w:val="00D933AE"/>
    <w:rPr>
      <w:rFonts w:ascii="Arial" w:eastAsiaTheme="majorEastAsia" w:hAnsi="Arial" w:cstheme="majorBidi"/>
      <w:color w:val="2E74B5" w:themeColor="accent1" w:themeShade="BF"/>
      <w:sz w:val="20"/>
    </w:rPr>
  </w:style>
  <w:style w:type="character" w:customStyle="1" w:styleId="Heading6Char">
    <w:name w:val="Heading 6 Char"/>
    <w:basedOn w:val="DefaultParagraphFont"/>
    <w:link w:val="Heading6"/>
    <w:uiPriority w:val="9"/>
    <w:rsid w:val="00D933AE"/>
    <w:rPr>
      <w:rFonts w:ascii="Arial" w:eastAsiaTheme="majorEastAsia" w:hAnsi="Arial" w:cstheme="majorBidi"/>
      <w:color w:val="1F4D78" w:themeColor="accent1" w:themeShade="7F"/>
      <w:sz w:val="20"/>
    </w:rPr>
  </w:style>
  <w:style w:type="character" w:customStyle="1" w:styleId="Heading7Char">
    <w:name w:val="Heading 7 Char"/>
    <w:basedOn w:val="DefaultParagraphFont"/>
    <w:link w:val="Heading7"/>
    <w:uiPriority w:val="9"/>
    <w:rsid w:val="00D933AE"/>
    <w:rPr>
      <w:rFonts w:ascii="Arial" w:eastAsiaTheme="majorEastAsia" w:hAnsi="Arial" w:cstheme="majorBidi"/>
      <w:i/>
      <w:iCs w:val="0"/>
      <w:color w:val="1F4D78" w:themeColor="accent1" w:themeShade="7F"/>
      <w:sz w:val="20"/>
    </w:rPr>
  </w:style>
  <w:style w:type="character" w:customStyle="1" w:styleId="Heading8Char">
    <w:name w:val="Heading 8 Char"/>
    <w:basedOn w:val="DefaultParagraphFont"/>
    <w:link w:val="Heading8"/>
    <w:uiPriority w:val="9"/>
    <w:rsid w:val="00D933AE"/>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933AE"/>
    <w:rPr>
      <w:rFonts w:ascii="Arial" w:eastAsiaTheme="majorEastAsia" w:hAnsi="Arial" w:cstheme="majorBidi"/>
      <w:i/>
      <w:iCs w:val="0"/>
      <w:color w:val="272727" w:themeColor="text1" w:themeTint="D8"/>
      <w:sz w:val="21"/>
      <w:szCs w:val="21"/>
    </w:rPr>
  </w:style>
  <w:style w:type="paragraph" w:styleId="Title">
    <w:name w:val="Title"/>
    <w:basedOn w:val="Normal"/>
    <w:next w:val="Normal"/>
    <w:link w:val="TitleChar"/>
    <w:uiPriority w:val="10"/>
    <w:qFormat/>
    <w:rsid w:val="00D933AE"/>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933AE"/>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D933AE"/>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D933AE"/>
    <w:rPr>
      <w:rFonts w:eastAsiaTheme="minorEastAsia"/>
      <w:color w:val="5A5A5A" w:themeColor="text1" w:themeTint="A5"/>
      <w:spacing w:val="15"/>
    </w:rPr>
  </w:style>
  <w:style w:type="character" w:styleId="BookTitle">
    <w:name w:val="Book Title"/>
    <w:basedOn w:val="DefaultParagraphFont"/>
    <w:uiPriority w:val="33"/>
    <w:qFormat/>
    <w:rsid w:val="00D933AE"/>
    <w:rPr>
      <w:b/>
      <w:bCs/>
      <w:i/>
      <w:iCs w:val="0"/>
      <w:spacing w:val="5"/>
    </w:rPr>
  </w:style>
  <w:style w:type="character" w:styleId="SubtleEmphasis">
    <w:name w:val="Subtle Emphasis"/>
    <w:basedOn w:val="DefaultParagraphFont"/>
    <w:uiPriority w:val="19"/>
    <w:qFormat/>
    <w:rsid w:val="00D933AE"/>
    <w:rPr>
      <w:i/>
      <w:iCs w:val="0"/>
      <w:color w:val="404040" w:themeColor="text1" w:themeTint="BF"/>
    </w:rPr>
  </w:style>
  <w:style w:type="character" w:styleId="Emphasis">
    <w:name w:val="Emphasis"/>
    <w:basedOn w:val="DefaultParagraphFont"/>
    <w:uiPriority w:val="20"/>
    <w:qFormat/>
    <w:rsid w:val="00D933AE"/>
    <w:rPr>
      <w:i/>
      <w:iCs w:val="0"/>
    </w:rPr>
  </w:style>
  <w:style w:type="paragraph" w:styleId="ListParagraph">
    <w:name w:val="List Paragraph"/>
    <w:basedOn w:val="Normal"/>
    <w:uiPriority w:val="34"/>
    <w:qFormat/>
    <w:rsid w:val="00B336BC"/>
    <w:pPr>
      <w:ind w:left="720"/>
      <w:contextualSpacing/>
    </w:pPr>
    <w:rPr>
      <w:rFonts w:cs="Arial"/>
      <w:iCs w:val="0"/>
      <w:szCs w:val="20"/>
    </w:rPr>
  </w:style>
  <w:style w:type="paragraph" w:customStyle="1" w:styleId="xmsolistparagraph">
    <w:name w:val="x_msolistparagraph"/>
    <w:basedOn w:val="Normal"/>
    <w:rsid w:val="00A23399"/>
    <w:pPr>
      <w:ind w:left="720"/>
    </w:pPr>
    <w:rPr>
      <w:rFonts w:cs="Arial"/>
      <w:iCs w:val="0"/>
      <w:szCs w:val="20"/>
      <w:lang w:eastAsia="en-GB"/>
    </w:rPr>
  </w:style>
  <w:style w:type="character" w:styleId="Hyperlink">
    <w:name w:val="Hyperlink"/>
    <w:basedOn w:val="DefaultParagraphFont"/>
    <w:uiPriority w:val="99"/>
    <w:unhideWhenUsed/>
    <w:rPr>
      <w:color w:val="0563C1" w:themeColor="hyperlink"/>
      <w:u w:val="single"/>
    </w:r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rPr>
      <w:szCs w:val="20"/>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Cs w:val="20"/>
    </w:rPr>
  </w:style>
  <w:style w:type="paragraph" w:styleId="Header">
    <w:name w:val="header"/>
    <w:basedOn w:val="Normal"/>
    <w:link w:val="HeaderChar"/>
    <w:uiPriority w:val="99"/>
    <w:unhideWhenUsed/>
    <w:rsid w:val="00B6469C"/>
    <w:pPr>
      <w:tabs>
        <w:tab w:val="center" w:pos="4513"/>
        <w:tab w:val="right" w:pos="9026"/>
      </w:tabs>
    </w:pPr>
  </w:style>
  <w:style w:type="character" w:customStyle="1" w:styleId="HeaderChar">
    <w:name w:val="Header Char"/>
    <w:basedOn w:val="DefaultParagraphFont"/>
    <w:link w:val="Header"/>
    <w:uiPriority w:val="99"/>
    <w:rsid w:val="00B6469C"/>
  </w:style>
  <w:style w:type="paragraph" w:styleId="Footer">
    <w:name w:val="footer"/>
    <w:basedOn w:val="Normal"/>
    <w:link w:val="FooterChar"/>
    <w:uiPriority w:val="99"/>
    <w:unhideWhenUsed/>
    <w:rsid w:val="00B6469C"/>
    <w:pPr>
      <w:tabs>
        <w:tab w:val="center" w:pos="4513"/>
        <w:tab w:val="right" w:pos="9026"/>
      </w:tabs>
    </w:pPr>
  </w:style>
  <w:style w:type="character" w:customStyle="1" w:styleId="FooterChar">
    <w:name w:val="Footer Char"/>
    <w:basedOn w:val="DefaultParagraphFont"/>
    <w:link w:val="Footer"/>
    <w:uiPriority w:val="99"/>
    <w:rsid w:val="00B6469C"/>
  </w:style>
  <w:style w:type="character" w:styleId="UnresolvedMention">
    <w:name w:val="Unresolved Mention"/>
    <w:basedOn w:val="DefaultParagraphFont"/>
    <w:uiPriority w:val="99"/>
    <w:semiHidden/>
    <w:unhideWhenUsed/>
    <w:rsid w:val="00F117EA"/>
    <w:rPr>
      <w:color w:val="605E5C"/>
      <w:shd w:val="clear" w:color="auto" w:fill="E1DFDD"/>
    </w:rPr>
  </w:style>
  <w:style w:type="character" w:styleId="CommentReference">
    <w:name w:val="annotation reference"/>
    <w:basedOn w:val="DefaultParagraphFont"/>
    <w:uiPriority w:val="99"/>
    <w:semiHidden/>
    <w:unhideWhenUsed/>
    <w:rsid w:val="00C7602C"/>
    <w:rPr>
      <w:sz w:val="16"/>
      <w:szCs w:val="16"/>
    </w:rPr>
  </w:style>
  <w:style w:type="paragraph" w:styleId="CommentText">
    <w:name w:val="annotation text"/>
    <w:basedOn w:val="Normal"/>
    <w:link w:val="CommentTextChar"/>
    <w:uiPriority w:val="99"/>
    <w:unhideWhenUsed/>
    <w:rsid w:val="00C7602C"/>
    <w:rPr>
      <w:szCs w:val="20"/>
    </w:rPr>
  </w:style>
  <w:style w:type="character" w:customStyle="1" w:styleId="CommentTextChar">
    <w:name w:val="Comment Text Char"/>
    <w:basedOn w:val="DefaultParagraphFont"/>
    <w:link w:val="CommentText"/>
    <w:uiPriority w:val="99"/>
    <w:rsid w:val="00C7602C"/>
    <w:rPr>
      <w:szCs w:val="20"/>
    </w:rPr>
  </w:style>
  <w:style w:type="paragraph" w:styleId="CommentSubject">
    <w:name w:val="annotation subject"/>
    <w:basedOn w:val="CommentText"/>
    <w:next w:val="CommentText"/>
    <w:link w:val="CommentSubjectChar"/>
    <w:uiPriority w:val="99"/>
    <w:semiHidden/>
    <w:unhideWhenUsed/>
    <w:rsid w:val="00C7602C"/>
    <w:rPr>
      <w:b/>
      <w:bCs/>
    </w:rPr>
  </w:style>
  <w:style w:type="character" w:customStyle="1" w:styleId="CommentSubjectChar">
    <w:name w:val="Comment Subject Char"/>
    <w:basedOn w:val="CommentTextChar"/>
    <w:link w:val="CommentSubject"/>
    <w:uiPriority w:val="99"/>
    <w:semiHidden/>
    <w:rsid w:val="00C7602C"/>
    <w:rPr>
      <w:b/>
      <w:bCs/>
      <w:szCs w:val="20"/>
    </w:rPr>
  </w:style>
  <w:style w:type="paragraph" w:styleId="Revision">
    <w:name w:val="Revision"/>
    <w:hidden/>
    <w:uiPriority w:val="99"/>
    <w:semiHidden/>
    <w:rsid w:val="00C7602C"/>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EB49FC"/>
    <w:pPr>
      <w:spacing w:before="100" w:beforeAutospacing="1" w:after="100" w:afterAutospacing="1"/>
    </w:pPr>
    <w:rPr>
      <w:rFonts w:ascii="Times New Roman" w:eastAsia="Times New Roman" w:hAnsi="Times New Roman" w:cs="Times New Roman"/>
      <w:iCs w:val="0"/>
      <w:sz w:val="24"/>
      <w:szCs w:val="24"/>
      <w:lang w:eastAsia="en-GB"/>
    </w:rPr>
  </w:style>
  <w:style w:type="character" w:customStyle="1" w:styleId="xnormaltextrun">
    <w:name w:val="x_normaltextrun"/>
    <w:basedOn w:val="DefaultParagraphFont"/>
    <w:rsid w:val="00EB4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952341">
      <w:bodyDiv w:val="1"/>
      <w:marLeft w:val="0"/>
      <w:marRight w:val="0"/>
      <w:marTop w:val="0"/>
      <w:marBottom w:val="0"/>
      <w:divBdr>
        <w:top w:val="none" w:sz="0" w:space="0" w:color="auto"/>
        <w:left w:val="none" w:sz="0" w:space="0" w:color="auto"/>
        <w:bottom w:val="none" w:sz="0" w:space="0" w:color="auto"/>
        <w:right w:val="none" w:sz="0" w:space="0" w:color="auto"/>
      </w:divBdr>
    </w:div>
    <w:div w:id="1237939409">
      <w:bodyDiv w:val="1"/>
      <w:marLeft w:val="0"/>
      <w:marRight w:val="0"/>
      <w:marTop w:val="0"/>
      <w:marBottom w:val="0"/>
      <w:divBdr>
        <w:top w:val="none" w:sz="0" w:space="0" w:color="auto"/>
        <w:left w:val="none" w:sz="0" w:space="0" w:color="auto"/>
        <w:bottom w:val="none" w:sz="0" w:space="0" w:color="auto"/>
        <w:right w:val="none" w:sz="0" w:space="0" w:color="auto"/>
      </w:divBdr>
    </w:div>
    <w:div w:id="1353606665">
      <w:bodyDiv w:val="1"/>
      <w:marLeft w:val="0"/>
      <w:marRight w:val="0"/>
      <w:marTop w:val="0"/>
      <w:marBottom w:val="0"/>
      <w:divBdr>
        <w:top w:val="none" w:sz="0" w:space="0" w:color="auto"/>
        <w:left w:val="none" w:sz="0" w:space="0" w:color="auto"/>
        <w:bottom w:val="none" w:sz="0" w:space="0" w:color="auto"/>
        <w:right w:val="none" w:sz="0" w:space="0" w:color="auto"/>
      </w:divBdr>
    </w:div>
    <w:div w:id="1984696061">
      <w:bodyDiv w:val="1"/>
      <w:marLeft w:val="0"/>
      <w:marRight w:val="0"/>
      <w:marTop w:val="0"/>
      <w:marBottom w:val="0"/>
      <w:divBdr>
        <w:top w:val="none" w:sz="0" w:space="0" w:color="auto"/>
        <w:left w:val="none" w:sz="0" w:space="0" w:color="auto"/>
        <w:bottom w:val="none" w:sz="0" w:space="0" w:color="auto"/>
        <w:right w:val="none" w:sz="0" w:space="0" w:color="auto"/>
      </w:divBdr>
    </w:div>
    <w:div w:id="200901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3.safelinks.protection.outlook.com/?url=https%3A%2F%2Fdrive.google.com%2Fdrive%2Fu%2F0%2Ffolders%2F16wCc6-78SXX9Bwqk0O8Y58ZHj1Gq2uD0&amp;data=05%7C01%7CK.Winestein%40coinstreet.org%7C2d36b7e7dfe3495653dd08dbb3962183%7Cb6bb9e20794f4eddad87163da2d683c0%7C0%7C0%7C638301229613494498%7CUnknown%7CTWFpbGZsb3d8eyJWIjoiMC4wLjAwMDAiLCJQIjoiV2luMzIiLCJBTiI6Ik1haWwiLCJXVCI6Mn0%3D%7C3000%7C%7C%7C&amp;sdata=%2FL70ed2RHSMOQY2Rmp8eIPDVO63WJxH15Ozz52%2FehpU%3D&amp;reserve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ur03.safelinks.protection.outlook.com/?url=https%3A%2F%2Fdrive.google.com%2Fdrive%2Fu%2F0%2Ffolders%2F16wCc6-78SXX9Bwqk0O8Y58ZHj1Gq2uD0&amp;data=05%7C01%7CK.Winestein%40coinstreet.org%7C2d36b7e7dfe3495653dd08dbb3962183%7Cb6bb9e20794f4eddad87163da2d683c0%7C0%7C0%7C638301229613494498%7CUnknown%7CTWFpbGZsb3d8eyJWIjoiMC4wLjAwMDAiLCJQIjoiV2luMzIiLCJBTiI6Ik1haWwiLCJXVCI6Mn0%3D%7C3000%7C%7C%7C&amp;sdata=%2FL70ed2RHSMOQY2Rmp8eIPDVO63WJxH15Ozz52%2FehpU%3D&amp;reserved=0" TargetMode="External"/><Relationship Id="rId17" Type="http://schemas.openxmlformats.org/officeDocument/2006/relationships/hyperlink" Target="mailto:k.winestein@coinstreet.org" TargetMode="External"/><Relationship Id="rId2" Type="http://schemas.openxmlformats.org/officeDocument/2006/relationships/customXml" Target="../customXml/item2.xml"/><Relationship Id="rId16" Type="http://schemas.openxmlformats.org/officeDocument/2006/relationships/hyperlink" Target="https://coinstreet.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03.safelinks.protection.outlook.com/?url=https%3A%2F%2Fhbreavis.com%2Fen%2Fproject%2Fone-waterloo-elizabeth-house%2F&amp;data=05%7C01%7CK.Winestein%40coinstreet.org%7Cf45cc952232f47c9b8ef08dbb80ed6e7%7Cb6bb9e20794f4eddad87163da2d683c0%7C0%7C0%7C638306146183645270%7CUnknown%7CTWFpbGZsb3d8eyJWIjoiMC4wLjAwMDAiLCJQIjoiV2luMzIiLCJBTiI6Ik1haWwiLCJXVCI6Mn0%3D%7C3000%7C%7C%7C&amp;sdata=FTpC7Qs9brr%2FN89KaeqPvcahODW2lZHjp%2BpnWvr6BL0%3D&amp;reserved=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3.safelinks.protection.outlook.com/?url=https%3A%2F%2Fwww.bnnbloomberg.ca%2Flondon-office-market-will-weaken-further-goldman-analysts-warn-1.1931919&amp;data=05%7C01%7CK.Winestein%40coinstreet.org%7Cf45cc952232f47c9b8ef08dbb80ed6e7%7Cb6bb9e20794f4eddad87163da2d683c0%7C0%7C0%7C638306146183645270%7CUnknown%7CTWFpbGZsb3d8eyJWIjoiMC4wLjAwMDAiLCJQIjoiV2luMzIiLCJBTiI6Ik1haWwiLCJXVCI6Mn0%3D%7C3000%7C%7C%7C&amp;sdata=T2NT29HReP6xtpbJusgfEaud8wO4OVarxgZ1zL66ZLs%3D&amp;reserved=0" TargetMode="External"/><Relationship Id="rId22" Type="http://schemas.microsoft.com/office/2020/10/relationships/intelligence" Target="intelligence2.xml"/></Relationships>
</file>

<file path=word/_rels/endnotes.xml.rels><?xml version="1.0" encoding="UTF-8" standalone="yes"?>
<Relationships xmlns="http://schemas.openxmlformats.org/package/2006/relationships"><Relationship Id="rId3" Type="http://schemas.openxmlformats.org/officeDocument/2006/relationships/hyperlink" Target="https://www.thetimes.co.uk/article/72-upper-ground-this-monstrosity-must-not-be-allowed-to-sully-the-south-bank-zfmk5ls7x" TargetMode="External"/><Relationship Id="rId2" Type="http://schemas.openxmlformats.org/officeDocument/2006/relationships/hyperlink" Target="https://www.bloomberg.com/news/articles/2023-06-12/london-office-market-will-weaken-further-goldman-analysts-warn" TargetMode="External"/><Relationship Id="rId1" Type="http://schemas.openxmlformats.org/officeDocument/2006/relationships/hyperlink" Target="https://www.crisis.org.uk/ending-homelessness/homelessness-knowledge-hub/housing-models-and-access/housing-supply-requirements-across-great-britain-2018/" TargetMode="External"/><Relationship Id="rId4" Type="http://schemas.openxmlformats.org/officeDocument/2006/relationships/hyperlink" Target="https://www.theguardian.com/commentisfree/2022/may/06/london-planning-river-developments-thames-south-bank-bl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19577f-3f19-47ba-8f4a-c522d9506635">
      <Terms xmlns="http://schemas.microsoft.com/office/infopath/2007/PartnerControls"/>
    </lcf76f155ced4ddcb4097134ff3c332f>
    <TaxCatchAll xmlns="a1deb8a4-ae99-4ff6-be4e-1c5d687b52e2" xsi:nil="true"/>
    <SharedWithUsers xmlns="a1deb8a4-ae99-4ff6-be4e-1c5d687b52e2">
      <UserInfo>
        <DisplayName>Keith Winestein</DisplayName>
        <AccountId>16</AccountId>
        <AccountType/>
      </UserInfo>
      <UserInfo>
        <DisplayName>Helena Inwood</DisplayName>
        <AccountId>12</AccountId>
        <AccountType/>
      </UserInfo>
      <UserInfo>
        <DisplayName>Cait Saunders</DisplayName>
        <AccountId>77</AccountId>
        <AccountType/>
      </UserInfo>
      <UserInfo>
        <DisplayName>Lucy Grove</DisplayName>
        <AccountId>277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48B8D783FA24AA107065AEAD0CB3B" ma:contentTypeVersion="16" ma:contentTypeDescription="Create a new document." ma:contentTypeScope="" ma:versionID="07a7eb1e0a7e2965a07619a4d8c3ac14">
  <xsd:schema xmlns:xsd="http://www.w3.org/2001/XMLSchema" xmlns:xs="http://www.w3.org/2001/XMLSchema" xmlns:p="http://schemas.microsoft.com/office/2006/metadata/properties" xmlns:ns2="5e19577f-3f19-47ba-8f4a-c522d9506635" xmlns:ns3="a1deb8a4-ae99-4ff6-be4e-1c5d687b52e2" targetNamespace="http://schemas.microsoft.com/office/2006/metadata/properties" ma:root="true" ma:fieldsID="f0db3e6aa395b8504b647cde7abdf371" ns2:_="" ns3:_="">
    <xsd:import namespace="5e19577f-3f19-47ba-8f4a-c522d9506635"/>
    <xsd:import namespace="a1deb8a4-ae99-4ff6-be4e-1c5d687b52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9577f-3f19-47ba-8f4a-c522d95066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655d606-abfc-4e8b-93e3-574ec9d2fc3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deb8a4-ae99-4ff6-be4e-1c5d687b52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30b64c3-1817-4cbd-a9a0-bfc26032e0cc}" ma:internalName="TaxCatchAll" ma:showField="CatchAllData" ma:web="a1deb8a4-ae99-4ff6-be4e-1c5d687b52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C6C79-40D4-4955-87FA-352D4C6ED85F}">
  <ds:schemaRefs>
    <ds:schemaRef ds:uri="a1deb8a4-ae99-4ff6-be4e-1c5d687b52e2"/>
    <ds:schemaRef ds:uri="http://schemas.openxmlformats.org/package/2006/metadata/core-properties"/>
    <ds:schemaRef ds:uri="http://purl.org/dc/dcmitype/"/>
    <ds:schemaRef ds:uri="http://schemas.microsoft.com/office/2006/documentManagement/types"/>
    <ds:schemaRef ds:uri="http://purl.org/dc/terms/"/>
    <ds:schemaRef ds:uri="http://purl.org/dc/elements/1.1/"/>
    <ds:schemaRef ds:uri="http://schemas.microsoft.com/office/2006/metadata/properties"/>
    <ds:schemaRef ds:uri="5e19577f-3f19-47ba-8f4a-c522d9506635"/>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06F840D-A9F0-482C-BE13-FF10B5B72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9577f-3f19-47ba-8f4a-c522d9506635"/>
    <ds:schemaRef ds:uri="a1deb8a4-ae99-4ff6-be4e-1c5d687b5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2E5890-59C2-4479-894D-30F1FE8EE07F}">
  <ds:schemaRefs>
    <ds:schemaRef ds:uri="http://schemas.microsoft.com/sharepoint/v3/contenttype/forms"/>
  </ds:schemaRefs>
</ds:datastoreItem>
</file>

<file path=customXml/itemProps4.xml><?xml version="1.0" encoding="utf-8"?>
<ds:datastoreItem xmlns:ds="http://schemas.openxmlformats.org/officeDocument/2006/customXml" ds:itemID="{D65F56B0-079A-448A-9CA0-2E0106ED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1765</Words>
  <Characters>10063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Grove</dc:creator>
  <cp:keywords/>
  <dc:description/>
  <cp:lastModifiedBy>Keith Winestein</cp:lastModifiedBy>
  <cp:revision>19</cp:revision>
  <cp:lastPrinted>2023-09-04T20:53:00Z</cp:lastPrinted>
  <dcterms:created xsi:type="dcterms:W3CDTF">2023-09-04T18:43:00Z</dcterms:created>
  <dcterms:modified xsi:type="dcterms:W3CDTF">2023-09-18T09:42:00Z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0x0101003DB48B8D783FA24AA107065AEAD0CB3B</vt:lpwstr>
  </property>
  <property fmtid="{D5CDD505-2E9C-101B-9397-08002B2CF9AE}" pid="3" name="MediaServiceImageTags">
    <vt:lpwstr/>
  </property>
</Properties>
</file>